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8"/>
        <w:gridCol w:w="7642"/>
      </w:tblGrid>
      <w:tr w:rsidR="003E00E0" w14:paraId="20ABF54E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1E5B1AF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Parametr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53DE5F97" w14:textId="77777777" w:rsidR="003E00E0" w:rsidRDefault="003E00E0" w:rsidP="003E00E0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Charakterystyka (wymagania minimalne)</w:t>
            </w:r>
          </w:p>
        </w:tc>
      </w:tr>
      <w:tr w:rsidR="003E00E0" w:rsidRPr="00C65857" w14:paraId="500E50F9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7B70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Obudowa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93A2" w14:textId="77777777" w:rsidR="003E00E0" w:rsidRDefault="003E00E0" w:rsidP="003E00E0">
            <w:pP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Obudowa Rack o wysokości max 2U z możliwością instalacji min. 8 dysków 3,5" Hot-Plug wraz z kompletem wysuwanych szyn umożliwiających montaż w szafie rack i wysuwanie serwera do celów serwisowych oraz organizatorem do kabli. </w:t>
            </w:r>
          </w:p>
          <w:p w14:paraId="7B026A2D" w14:textId="06026D79" w:rsidR="003E00E0" w:rsidRDefault="003E00E0" w:rsidP="003E00E0">
            <w:pPr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Obudowa wyposaż</w:t>
            </w:r>
            <w:r w:rsidR="001674F5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ona</w:t>
            </w:r>
            <w: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w </w:t>
            </w:r>
            <w:r>
              <w:rPr>
                <w:color w:val="000000" w:themeColor="text1"/>
                <w:sz w:val="20"/>
                <w:szCs w:val="20"/>
                <w:lang w:val="pl-PL"/>
              </w:rPr>
              <w:t>kartę umożliwiającą dostęp bezpośredni poprzez urządzenia mobilne - serwer musi posiadać możliwość konfiguracji oraz monitoringu najważniejszych komponentów serwera przy użyciu dedykowanej aplikacji mobilnej min. (Android/ Apple iOS) przy użyciu jednego z protokołów NFC/ BLE/ WIFI.</w:t>
            </w:r>
          </w:p>
        </w:tc>
      </w:tr>
      <w:tr w:rsidR="003E00E0" w:rsidRPr="00C65857" w14:paraId="34B9789E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3DD1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Płyta główna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6135" w14:textId="77777777" w:rsidR="003E00E0" w:rsidRDefault="003E00E0" w:rsidP="003E00E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Płyta główna z możliwością zainstalowania jednego procesora. Płyta główna musi być zaprojektowana przez producenta serwera i oznaczona jego znakiem firmowym.</w:t>
            </w:r>
          </w:p>
        </w:tc>
      </w:tr>
      <w:tr w:rsidR="003E00E0" w:rsidRPr="00C65857" w14:paraId="667C2906" w14:textId="77777777" w:rsidTr="003E00E0">
        <w:trPr>
          <w:trHeight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0516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Chipset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05F8" w14:textId="77777777" w:rsidR="003E00E0" w:rsidRDefault="003E00E0" w:rsidP="003E00E0">
            <w:pPr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pl-PL"/>
              </w:rPr>
              <w:t>Dedykowany przez producenta procesora do pracy w serwerach jednoprocesorowych</w:t>
            </w:r>
          </w:p>
        </w:tc>
      </w:tr>
      <w:tr w:rsidR="003E00E0" w:rsidRPr="00C65857" w14:paraId="46B0D23F" w14:textId="77777777" w:rsidTr="003E00E0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BEB8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Procesor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7621" w14:textId="4CDAE26E" w:rsidR="003E00E0" w:rsidRDefault="003E00E0" w:rsidP="003E00E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Zainstalowany jeden procesor AMD EPYC, min. </w:t>
            </w:r>
            <w:r w:rsidR="001674F5">
              <w:rPr>
                <w:rFonts w:ascii="Calibri" w:hAnsi="Calibri"/>
                <w:sz w:val="20"/>
                <w:szCs w:val="20"/>
                <w:lang w:val="pl-PL"/>
              </w:rPr>
              <w:t>16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-rdzeniowy klasy x86 dedykowany do pracy z zaoferowanym serwerem umożliwiający osiągnięcie wyniku min. 1</w:t>
            </w:r>
            <w:r w:rsidR="001674F5">
              <w:rPr>
                <w:rFonts w:ascii="Calibri" w:hAnsi="Calibri"/>
                <w:sz w:val="20"/>
                <w:szCs w:val="20"/>
                <w:lang w:val="pl-PL"/>
              </w:rPr>
              <w:t>16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 w teście SPECrate2017_int_</w:t>
            </w:r>
            <w:r>
              <w:rPr>
                <w:sz w:val="20"/>
                <w:szCs w:val="20"/>
                <w:lang w:val="pl-PL"/>
              </w:rPr>
              <w:t>base,</w:t>
            </w:r>
            <w:r>
              <w:rPr>
                <w:lang w:val="pl-PL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dostępnym na stronie </w:t>
            </w:r>
            <w:hyperlink r:id="rId7" w:history="1">
              <w:r>
                <w:rPr>
                  <w:rStyle w:val="Hipercze"/>
                  <w:rFonts w:ascii="Calibri" w:hAnsi="Calibri"/>
                  <w:sz w:val="20"/>
                  <w:szCs w:val="20"/>
                  <w:lang w:val="pl-PL"/>
                </w:rPr>
                <w:t>www.spec.org</w:t>
              </w:r>
            </w:hyperlink>
            <w:r w:rsidRPr="00196418">
              <w:rPr>
                <w:lang w:val="pl-PL"/>
              </w:rPr>
              <w:t xml:space="preserve"> .</w:t>
            </w:r>
          </w:p>
        </w:tc>
      </w:tr>
      <w:tr w:rsidR="003E00E0" w:rsidRPr="001674F5" w14:paraId="2980F271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9A59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0B8A" w14:textId="48BE53A3" w:rsidR="003E00E0" w:rsidRDefault="003E00E0" w:rsidP="003E00E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Minimum </w:t>
            </w:r>
            <w:r w:rsidR="001674F5">
              <w:rPr>
                <w:rFonts w:ascii="Calibri" w:hAnsi="Calibri"/>
                <w:sz w:val="20"/>
                <w:szCs w:val="20"/>
                <w:lang w:val="pl-PL"/>
              </w:rPr>
              <w:t>128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GB DDR4 RDIMM 3200MT/s, na płycie głównej powinno znajdować się minimum 16 slotów przeznaczonych do instalacji pamięci. Płyta główna powinna obsługiwać do min. 2TB pamięci RAM.</w:t>
            </w:r>
          </w:p>
        </w:tc>
      </w:tr>
      <w:tr w:rsidR="003E00E0" w14:paraId="40CF6FE6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A939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Zabezpieczenia pamięci 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D72F" w14:textId="77777777" w:rsidR="003E00E0" w:rsidRPr="00D023AD" w:rsidRDefault="003E00E0" w:rsidP="003E00E0">
            <w:pPr>
              <w:rPr>
                <w:rFonts w:ascii="Calibri" w:hAnsi="Calibri"/>
                <w:sz w:val="20"/>
                <w:szCs w:val="20"/>
              </w:rPr>
            </w:pPr>
            <w:r w:rsidRPr="00D023AD">
              <w:rPr>
                <w:rFonts w:ascii="Calibri" w:hAnsi="Calibri"/>
                <w:sz w:val="20"/>
                <w:szCs w:val="20"/>
              </w:rPr>
              <w:t xml:space="preserve">Memory Rank Sparing, Memory Mirror, Failed DIMM isolation, Memory Address Parity Protection, Memory Thermal Throttling </w:t>
            </w:r>
          </w:p>
        </w:tc>
      </w:tr>
      <w:tr w:rsidR="003E00E0" w:rsidRPr="00C65857" w14:paraId="6FC4F2E6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903C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Gniazda PCI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4B27" w14:textId="2AC8DCE6" w:rsidR="003E00E0" w:rsidRDefault="003E00E0" w:rsidP="003E00E0">
            <w:pP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- min. </w:t>
            </w:r>
            <w:r w:rsidR="001674F5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slot</w:t>
            </w:r>
            <w:r w:rsidR="001674F5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PCIe x16 generacji 3 oraz min. 2 sloty PCIe x16 generacji 4.  </w:t>
            </w:r>
          </w:p>
        </w:tc>
      </w:tr>
      <w:tr w:rsidR="003E00E0" w:rsidRPr="00C65857" w14:paraId="21D26294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43C8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Interfejsy sieciowe/FC/SAS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F3E1" w14:textId="3A6BE0E3" w:rsidR="003E00E0" w:rsidRDefault="003E00E0" w:rsidP="00C65857">
            <w:pP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Wbudowane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dwa interfejsy sieciowe 1Gb Ethernet w standardzie BaseT oraz dwa interfejsy </w:t>
            </w:r>
            <w:r w:rsidR="0060582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10Gb Ethernet </w:t>
            </w:r>
            <w:r w:rsidR="00C029B3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SFP+</w:t>
            </w:r>
            <w:r w:rsidR="00B770E3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bez wkładek</w:t>
            </w:r>
            <w:r w:rsidR="00C65857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, 4szt kabla TWINAX SFP+ Cisco </w:t>
            </w:r>
            <w:r w:rsidR="00C65857" w:rsidRPr="00C65857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SFP-H10GB-CU5M</w:t>
            </w:r>
          </w:p>
        </w:tc>
      </w:tr>
      <w:tr w:rsidR="003E00E0" w:rsidRPr="00C65857" w14:paraId="589150F6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8A9B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Dyski twarde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10AF" w14:textId="77777777" w:rsidR="003E00E0" w:rsidRDefault="003E00E0" w:rsidP="003E00E0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Możliwość instalacji dysków SATA, SAS, SSD, NVMe.</w:t>
            </w:r>
          </w:p>
          <w:p w14:paraId="41D2E224" w14:textId="6765D943" w:rsidR="003E00E0" w:rsidRDefault="003E00E0" w:rsidP="003E00E0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Zainstalowane </w:t>
            </w:r>
            <w:r w:rsidR="00605821">
              <w:rPr>
                <w:rFonts w:ascii="Calibri" w:hAnsi="Calibri"/>
                <w:sz w:val="20"/>
                <w:szCs w:val="20"/>
                <w:lang w:val="de-DE"/>
              </w:rPr>
              <w:t>trzy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 dyski min. </w:t>
            </w:r>
            <w:r w:rsidR="00B770E3">
              <w:rPr>
                <w:rFonts w:ascii="Calibri" w:hAnsi="Calibri"/>
                <w:sz w:val="20"/>
                <w:szCs w:val="20"/>
                <w:lang w:val="de-DE"/>
              </w:rPr>
              <w:t>1.2TB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 SA</w:t>
            </w:r>
            <w:r w:rsidR="00605821">
              <w:rPr>
                <w:rFonts w:ascii="Calibri" w:hAnsi="Calibri"/>
                <w:sz w:val="20"/>
                <w:szCs w:val="20"/>
                <w:lang w:val="de-DE"/>
              </w:rPr>
              <w:t>S 10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k RPM, </w:t>
            </w:r>
            <w:r w:rsidR="00605821">
              <w:rPr>
                <w:rFonts w:ascii="Calibri" w:hAnsi="Calibri"/>
                <w:sz w:val="20"/>
                <w:szCs w:val="20"/>
                <w:lang w:val="de-DE"/>
              </w:rPr>
              <w:t>12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Gbps Hot-Plug </w:t>
            </w:r>
          </w:p>
          <w:p w14:paraId="77F08192" w14:textId="41EA8E87" w:rsidR="00605821" w:rsidRDefault="00605821" w:rsidP="00605821">
            <w:pPr>
              <w:rPr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Możliwość zainstalowania dwóch dysków M.2 SATA o pojemności min. 480GB z możliwością konfiguracji RAID 1.</w:t>
            </w:r>
          </w:p>
          <w:p w14:paraId="21B754F6" w14:textId="60A7C01D" w:rsidR="00605821" w:rsidRDefault="00605821" w:rsidP="00605821">
            <w:pP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>Możliwość za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instalowania modułu dedykowanego dla hypervisora wirtualizacyjnego, wyposażonego w 2 nośniki typu flash o pojemności min. 64GB. Rozwiązanie nie może powodować zmniejszenia ilości wnęk na dyski twarde.</w:t>
            </w:r>
          </w:p>
        </w:tc>
      </w:tr>
      <w:tr w:rsidR="003E00E0" w:rsidRPr="009E7BDB" w14:paraId="0B3BF787" w14:textId="77777777" w:rsidTr="003E00E0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E4BA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Kontroler RAID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9AF8" w14:textId="7AA1C26B" w:rsidR="003E00E0" w:rsidRDefault="003E00E0" w:rsidP="003E00E0">
            <w:pPr>
              <w:rPr>
                <w:sz w:val="20"/>
                <w:szCs w:val="20"/>
                <w:lang w:val="de-DE"/>
              </w:rPr>
            </w:pPr>
            <w: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Sprzętowy kontroler dyskowy, </w:t>
            </w:r>
            <w:r w:rsidRPr="00CC6654">
              <w:rPr>
                <w:rFonts w:ascii="Calibri" w:hAnsi="Calibri" w:cs="Segoe UI"/>
                <w:color w:val="000000"/>
                <w:sz w:val="20"/>
                <w:lang w:val="pl-PL"/>
              </w:rPr>
              <w:t xml:space="preserve">posiadający min. </w:t>
            </w:r>
            <w:r>
              <w:rPr>
                <w:rFonts w:ascii="Calibri" w:hAnsi="Calibri" w:cs="Segoe UI"/>
                <w:color w:val="000000"/>
                <w:sz w:val="20"/>
                <w:lang w:val="pl-PL"/>
              </w:rPr>
              <w:t>2</w:t>
            </w:r>
            <w:r w:rsidRPr="00CC6654">
              <w:rPr>
                <w:rFonts w:ascii="Calibri" w:hAnsi="Calibri" w:cs="Segoe UI"/>
                <w:color w:val="000000"/>
                <w:sz w:val="20"/>
                <w:lang w:val="pl-PL"/>
              </w:rPr>
              <w:t xml:space="preserve">GB nieulotnej pamięci cache, </w:t>
            </w:r>
            <w: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możliwe konfiguracje poziomów RAID: 0, 1, 5, 6, 10, 50, 60. Wsparcie dla dysków samoszyf</w:t>
            </w:r>
            <w:r w:rsidR="0060582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r</w:t>
            </w:r>
            <w: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ujących.</w:t>
            </w:r>
          </w:p>
        </w:tc>
      </w:tr>
      <w:tr w:rsidR="003E00E0" w:rsidRPr="00C65857" w14:paraId="688B486A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C4DF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b/>
                <w:sz w:val="20"/>
                <w:szCs w:val="20"/>
                <w:lang w:val="de-DE"/>
              </w:rPr>
              <w:t>Wbudowane porty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4AFE" w14:textId="223BEDC3" w:rsidR="003E00E0" w:rsidRDefault="003E00E0" w:rsidP="003E00E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min. 2 porty USB 2.0, 1 port micro USB oraz 3 porty USB 3.0, 2 porty VGA (1 na przednim panelu obudowy, drugi na tylnym), min. 1 port RS232</w:t>
            </w:r>
          </w:p>
        </w:tc>
      </w:tr>
      <w:tr w:rsidR="003E00E0" w:rsidRPr="00C65857" w14:paraId="7E054E76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F7FA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b/>
                <w:sz w:val="20"/>
                <w:szCs w:val="20"/>
                <w:lang w:val="de-DE"/>
              </w:rPr>
              <w:t>Video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1A1E" w14:textId="77777777" w:rsidR="003E00E0" w:rsidRDefault="003E00E0" w:rsidP="003E00E0">
            <w:pP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Zintegrowana karta graficzna umożliwiająca wyświetlenie rozdzielczości min. 1600x900</w:t>
            </w:r>
          </w:p>
        </w:tc>
      </w:tr>
      <w:tr w:rsidR="003E00E0" w14:paraId="6B94C373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F509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Wentylatory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30F7" w14:textId="77777777" w:rsidR="003E00E0" w:rsidRDefault="003E00E0" w:rsidP="003E00E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Redundantne</w:t>
            </w:r>
          </w:p>
        </w:tc>
      </w:tr>
      <w:tr w:rsidR="003E00E0" w:rsidRPr="00C65857" w14:paraId="7D2E1295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F7B5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Zasilacze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A802" w14:textId="3EB3102D" w:rsidR="003E00E0" w:rsidRDefault="003E00E0" w:rsidP="003E00E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Redundantne, Hot-Plug min. 750W każdy wraz z kablami zasilającymi o długości min. </w:t>
            </w:r>
            <w:r w:rsidR="00365518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m.</w:t>
            </w:r>
          </w:p>
        </w:tc>
      </w:tr>
      <w:tr w:rsidR="003E00E0" w:rsidRPr="00C65857" w14:paraId="4F9AB48E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E080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Bezpieczeństwo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90CC" w14:textId="07ABEF64" w:rsidR="003E00E0" w:rsidRDefault="00605821" w:rsidP="003E00E0">
            <w:pPr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pl-PL"/>
              </w:rPr>
              <w:t>Zainstalowany</w:t>
            </w:r>
            <w:r w:rsidR="003E00E0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 moduł TPM</w:t>
            </w:r>
            <w:r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 2.0</w:t>
            </w:r>
          </w:p>
          <w:p w14:paraId="122FDD85" w14:textId="77777777" w:rsidR="003E00E0" w:rsidRDefault="003E00E0" w:rsidP="003E00E0">
            <w:pPr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pl-PL"/>
              </w:rPr>
              <w:t>Wbudowany czujnik otwarcia obudowy współpracujący z BIOS i kartą zarządzającą.</w:t>
            </w:r>
          </w:p>
        </w:tc>
      </w:tr>
      <w:tr w:rsidR="003E00E0" w:rsidRPr="00C65857" w14:paraId="31275B15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8413" w14:textId="77777777" w:rsidR="003E00E0" w:rsidRDefault="003E00E0" w:rsidP="003E00E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Diagnostyka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BA9A" w14:textId="510C2F7A" w:rsidR="003E00E0" w:rsidRDefault="00365518" w:rsidP="003E00E0">
            <w:pPr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pl-PL"/>
              </w:rPr>
              <w:t>Serwer wyposażony</w:t>
            </w:r>
            <w:r w:rsidR="003E00E0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 w panel LCD umieszczony na froncie obudowy, umożliwiający wyświetlenie informacji o stanie procesora, pamięci, dysków, BIOS’u, zasilaniu oraz temperaturze.</w:t>
            </w:r>
          </w:p>
        </w:tc>
      </w:tr>
      <w:tr w:rsidR="00365518" w:rsidRPr="00C65857" w14:paraId="7F6FF8A5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F332" w14:textId="77777777" w:rsidR="00365518" w:rsidRDefault="00365518" w:rsidP="00365518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Karta Zarządzania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1177" w14:textId="77777777" w:rsidR="00365518" w:rsidRDefault="00365518" w:rsidP="00365518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Niezależna od zainstalowanego na serwerze systemu operacyjnego posiadająca dedykowany port Gigabit Ethernet RJ-45 i umożliwiająca:</w:t>
            </w:r>
          </w:p>
          <w:p w14:paraId="22B7B063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zdalny dostęp do graficznego interfejsu Web karty zarządzającej;</w:t>
            </w:r>
          </w:p>
          <w:p w14:paraId="7BF69B9B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zdalne monitorowanie i informowanie o statusie serwera (m.in. prędkości obrotowej wentylatorów, konfiguracji serwera);</w:t>
            </w:r>
          </w:p>
          <w:p w14:paraId="3EBC7AC0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szyfrowane połączenie (TLS) oraz autentykacje i autoryzację użytkownika;</w:t>
            </w:r>
          </w:p>
          <w:p w14:paraId="5FBDF1E3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możliwość podmontowania zdalnych wirtualnych napędów;</w:t>
            </w:r>
          </w:p>
          <w:p w14:paraId="14F57F03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wirtualną konsolę z dostępem do myszy, klawiatury;</w:t>
            </w:r>
          </w:p>
          <w:p w14:paraId="29165EFF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wsparcie dla IPv6;</w:t>
            </w:r>
          </w:p>
          <w:p w14:paraId="5A472C5C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wsparcie dla WSMAN (Web Service for Management); SNMP; IPMI2.0, SSH, Redfish;</w:t>
            </w:r>
          </w:p>
          <w:p w14:paraId="777DA973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możliwość zdalnego monitorowania w czasie rzeczywistym poboru prądu przez serwer;</w:t>
            </w:r>
          </w:p>
          <w:p w14:paraId="2ADA8D6D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możliwość zdalnego ustawienia limitu poboru prądu przez konkretny serwer;</w:t>
            </w:r>
          </w:p>
          <w:p w14:paraId="1D7050C3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integracja z Active Directory;</w:t>
            </w:r>
          </w:p>
          <w:p w14:paraId="78D70B39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możliwość obsługi przez dwóch administratorów jednocześnie;</w:t>
            </w:r>
          </w:p>
          <w:p w14:paraId="6CD6875C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wsparcie dla dynamic DNS;</w:t>
            </w:r>
          </w:p>
          <w:p w14:paraId="7D13C5C9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wysyłanie do administratora maila z powiadomieniem o awarii lub zmianie konfiguracji sprzętowej.</w:t>
            </w:r>
          </w:p>
          <w:p w14:paraId="7A97A97A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możliwość bezpośredniego zarządzania poprzez dedykowany port USB na przednim panelu serwera</w:t>
            </w:r>
          </w:p>
          <w:p w14:paraId="274D9818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możliwość zarządzania do 100 serwerów bezpośrednio z konsoli karty zarządzającej pojedynczego serwera</w:t>
            </w:r>
          </w:p>
          <w:p w14:paraId="66D0A469" w14:textId="77777777" w:rsidR="00365518" w:rsidRDefault="00365518" w:rsidP="00365518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Dodatkowe oprogramowanie umożliwiające zarządzanie poprzez sieć, spełniające minimalne wymagania:</w:t>
            </w:r>
          </w:p>
          <w:p w14:paraId="6D404C39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wsparcie dla serwerów, urządzeń sieciowych oraz pamięci masowych;</w:t>
            </w:r>
          </w:p>
          <w:p w14:paraId="56B91F1E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możliwość zarządzania dostarczonymi serwerami bez udziału dedykowanego agenta;</w:t>
            </w:r>
          </w:p>
          <w:p w14:paraId="16EB97D8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wsparcie dla protokołów – WMI, SNMP, IPMI, WSMan, Linux SSH;</w:t>
            </w:r>
          </w:p>
          <w:p w14:paraId="672CFA0E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możliwość oskryptowywania procesu wykrywania urządzeń;</w:t>
            </w:r>
          </w:p>
          <w:p w14:paraId="4381DAF4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możliwość uruchamiania procesu wykrywania urządzeń w oparciu o harmonogram;</w:t>
            </w:r>
          </w:p>
          <w:p w14:paraId="67B9A3BF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szczegółowy opis wykrytych systemów oraz ich komponentów;</w:t>
            </w:r>
          </w:p>
          <w:p w14:paraId="57CBBFCF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możliwość eksportu raportu do CSV, HTML, XLS;</w:t>
            </w:r>
          </w:p>
          <w:p w14:paraId="3E8A57D8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grupowanie urządzeń w oparciu o kryteria użytkownika;</w:t>
            </w:r>
          </w:p>
          <w:p w14:paraId="5C58C5AB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automatyczne skrypty CLI umożliwiające dodawanie i edycję grup urządzeń;</w:t>
            </w:r>
          </w:p>
          <w:p w14:paraId="54A426E8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szybki podgląd stanu środowiska;</w:t>
            </w:r>
          </w:p>
          <w:p w14:paraId="387580CD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podsumowanie stanu dla każdego urządzenia;</w:t>
            </w:r>
          </w:p>
          <w:p w14:paraId="0EDB0F3E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szczegółowy status urządzenia/elementu/komponentu;</w:t>
            </w:r>
          </w:p>
          <w:p w14:paraId="04E47E0A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generowanie alertów przy zmianie stanu urządzenia;</w:t>
            </w:r>
          </w:p>
          <w:p w14:paraId="4CC4082B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filtry raportów umożliwiające podgląd najważniejszych zdarzeń;</w:t>
            </w:r>
          </w:p>
          <w:p w14:paraId="177A3EDA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integracja z service desk producenta dostarczonej platformy sprzętowej;</w:t>
            </w:r>
          </w:p>
          <w:p w14:paraId="47C9F3E2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możliwość przejęcia zdalnego pulpitu;</w:t>
            </w:r>
          </w:p>
          <w:p w14:paraId="299DF1E8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możliwość podmontowania wirtualnego napędu;</w:t>
            </w:r>
          </w:p>
          <w:p w14:paraId="2B560BBA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kreator umożliwiający dostosowanie akcji dla wybranych alertów;</w:t>
            </w:r>
          </w:p>
          <w:p w14:paraId="1F0CAC20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możliwość importu plików MIB;</w:t>
            </w:r>
          </w:p>
          <w:p w14:paraId="4433FB07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przesyłanie alertów „as-is” do innych konsol firm trzecich;</w:t>
            </w:r>
          </w:p>
          <w:p w14:paraId="19320640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aktualizacja oparta o wybranie źródła bibliotek (lokalna, on-line producenta oferowanego rozwiązania);</w:t>
            </w:r>
          </w:p>
          <w:p w14:paraId="2F267C66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możliwość instalacji sterowników i oprogramowania wewnętrznego bez potrzeby instalacji agenta;</w:t>
            </w:r>
          </w:p>
          <w:p w14:paraId="727F22E7" w14:textId="77777777" w:rsidR="00365518" w:rsidRDefault="00365518" w:rsidP="00365518">
            <w:pPr>
              <w:pStyle w:val="Akapitzlist"/>
              <w:numPr>
                <w:ilvl w:val="0"/>
                <w:numId w:val="3"/>
              </w:num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możliwość automatycznego generowania i zgłaszania incydentów awarii bezpośrednio do centrum serwisowego producenta serwerów;</w:t>
            </w:r>
          </w:p>
          <w:p w14:paraId="0CCF4D48" w14:textId="126AED8F" w:rsidR="00365518" w:rsidRPr="0094367F" w:rsidRDefault="00365518" w:rsidP="00365518">
            <w:pPr>
              <w:pStyle w:val="Akapitzlist"/>
              <w:numPr>
                <w:ilvl w:val="0"/>
                <w:numId w:val="5"/>
              </w:numPr>
              <w:spacing w:line="259" w:lineRule="auto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moduł raportujący pozwalający na wygenerowanie następujących informacji: nr seryjny sprzętu, konfiguracja poszczególnych urządzeń, wersje oprogramowania wewnętrznego, obsadzenie slotów PCIe i gniazd pamięci, informację o maszynach wirtualnych, aktualne informacje o stanie gwarancji, adresy IP kart sieciowych.</w:t>
            </w:r>
          </w:p>
        </w:tc>
      </w:tr>
      <w:tr w:rsidR="00365518" w:rsidRPr="00C65857" w14:paraId="3C8F205F" w14:textId="77777777" w:rsidTr="003E00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D8D1" w14:textId="77777777" w:rsidR="00365518" w:rsidRDefault="00365518" w:rsidP="00365518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lastRenderedPageBreak/>
              <w:t>Certyfikaty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7B9A" w14:textId="77777777" w:rsidR="00365518" w:rsidRDefault="00365518" w:rsidP="0036551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Serwer musi być wyprodukowany zgodnie z normą ISO-9001:2015 oraz ISO-14001. </w:t>
            </w:r>
            <w: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br/>
              <w:t>Serwer musi posiadać deklarację CE.</w:t>
            </w:r>
            <w: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br/>
              <w:t>Oferowany serwer musi znajdować się na liście Windows Server Catalog i posiadać status „Certified for Windows” dla systemów Microsoft Windows 2012, Microsoft Windows 2012 R2 x64, Microsoft Windows 2016, Microsoft Windows 2019.</w:t>
            </w:r>
          </w:p>
        </w:tc>
      </w:tr>
      <w:tr w:rsidR="00365518" w:rsidRPr="00C65857" w14:paraId="01FCF674" w14:textId="77777777" w:rsidTr="003E00E0">
        <w:trPr>
          <w:trHeight w:val="9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A1BF" w14:textId="77777777" w:rsidR="00365518" w:rsidRDefault="00365518" w:rsidP="00365518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Warunki gwarancji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CAEA" w14:textId="11B81C70" w:rsidR="00365518" w:rsidRDefault="00365518" w:rsidP="00365518">
            <w:pP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3 lat gwarancji producenta, z czasem reakcji do 4h od przyjęcia zgłoszenia, możliwość zgłaszania awarii 24x7x365 poprzez ogólnopolską linię telefoniczną producenta.</w:t>
            </w:r>
          </w:p>
          <w:p w14:paraId="40F625CF" w14:textId="77777777" w:rsidR="00365518" w:rsidRPr="00CD7166" w:rsidRDefault="00365518" w:rsidP="00365518">
            <w:pPr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D22C8B">
              <w:rPr>
                <w:sz w:val="20"/>
                <w:szCs w:val="20"/>
                <w:lang w:val="pl-PL"/>
              </w:rPr>
              <w:t>Zamawiający wymaga od podmiotu realizującego serwis lub producenta sprzętu dołączenia do oferty oświadczenia, że w przypadku wystąpienia awarii dysku twardego w urządzeniu objętym aktywnym wparciem technicznym, uszkodzony dysk twardy pozostaje u Zamawiającego</w:t>
            </w:r>
          </w:p>
          <w:p w14:paraId="538C9737" w14:textId="77777777" w:rsidR="00365518" w:rsidRDefault="00365518" w:rsidP="00365518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Wymagane dołączenie do oferty oświadczenia Producenta potwierdzając, że Serwis urządzeń będzie realizowany bezpośrednio przez Producenta i/lub we współpracy z Autoryzowanym Partnerem Serwisowym Producenta.</w:t>
            </w:r>
          </w:p>
          <w:p w14:paraId="1A748546" w14:textId="77777777" w:rsidR="00365518" w:rsidRDefault="00365518" w:rsidP="00365518">
            <w:pP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Możliwość sprawdzenia statusu gwarancji poprzez stronę producenta podając unikatowy numer urządzenia oraz pobieranie uaktualnień mikrokodu oraz sterowników nawet w przypadku wygaśnięcia gwarancji serwera.</w:t>
            </w:r>
          </w:p>
          <w:p w14:paraId="5CE909C6" w14:textId="0329844F" w:rsidR="00365518" w:rsidRDefault="00365518" w:rsidP="00365518">
            <w:pPr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Możliwość rozszerze</w:t>
            </w:r>
            <w:r>
              <w:rPr>
                <w:color w:val="000000" w:themeColor="text1"/>
                <w:sz w:val="20"/>
                <w:szCs w:val="20"/>
                <w:lang w:val="pl-PL"/>
              </w:rPr>
              <w:t xml:space="preserve">nia gwarancji przez producenta do siedmiu lat. </w:t>
            </w:r>
          </w:p>
        </w:tc>
      </w:tr>
    </w:tbl>
    <w:p w14:paraId="6EBEC009" w14:textId="071E5CE9" w:rsidR="00D023AD" w:rsidRDefault="003E00E0" w:rsidP="00D023AD">
      <w:pPr>
        <w:rPr>
          <w:lang w:val="pl-PL"/>
        </w:rPr>
      </w:pPr>
      <w:r>
        <w:rPr>
          <w:lang w:val="pl-PL"/>
        </w:rPr>
        <w:br w:type="textWrapping" w:clear="all"/>
      </w:r>
    </w:p>
    <w:p w14:paraId="26DA0073" w14:textId="77777777" w:rsidR="00D023AD" w:rsidRDefault="00D023AD" w:rsidP="00D023AD">
      <w:pPr>
        <w:rPr>
          <w:lang w:val="pl-PL"/>
        </w:rPr>
      </w:pPr>
    </w:p>
    <w:p w14:paraId="1703F90F" w14:textId="77777777" w:rsidR="000A709E" w:rsidRPr="00D023AD" w:rsidRDefault="000A709E" w:rsidP="00D023AD">
      <w:pPr>
        <w:rPr>
          <w:lang w:val="pl-PL"/>
        </w:rPr>
      </w:pPr>
    </w:p>
    <w:sectPr w:rsidR="000A709E" w:rsidRPr="00D023AD" w:rsidSect="00606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54B93" w14:textId="77777777" w:rsidR="00ED075C" w:rsidRDefault="00ED075C" w:rsidP="000A709E">
      <w:pPr>
        <w:spacing w:after="0" w:line="240" w:lineRule="auto"/>
      </w:pPr>
      <w:r>
        <w:separator/>
      </w:r>
    </w:p>
  </w:endnote>
  <w:endnote w:type="continuationSeparator" w:id="0">
    <w:p w14:paraId="6FC7B8FA" w14:textId="77777777" w:rsidR="00ED075C" w:rsidRDefault="00ED075C" w:rsidP="000A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2EE2E" w14:textId="77777777" w:rsidR="00ED075C" w:rsidRDefault="00ED075C" w:rsidP="000A709E">
      <w:pPr>
        <w:spacing w:after="0" w:line="240" w:lineRule="auto"/>
      </w:pPr>
      <w:r>
        <w:separator/>
      </w:r>
    </w:p>
  </w:footnote>
  <w:footnote w:type="continuationSeparator" w:id="0">
    <w:p w14:paraId="12E6161F" w14:textId="77777777" w:rsidR="00ED075C" w:rsidRDefault="00ED075C" w:rsidP="000A7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777A"/>
    <w:multiLevelType w:val="singleLevel"/>
    <w:tmpl w:val="56D48A3C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9E"/>
    <w:rsid w:val="0004177F"/>
    <w:rsid w:val="000A709E"/>
    <w:rsid w:val="000D563B"/>
    <w:rsid w:val="000F25B0"/>
    <w:rsid w:val="00134270"/>
    <w:rsid w:val="00137E43"/>
    <w:rsid w:val="001674F5"/>
    <w:rsid w:val="00186C0C"/>
    <w:rsid w:val="00187C1D"/>
    <w:rsid w:val="00196418"/>
    <w:rsid w:val="001B29A2"/>
    <w:rsid w:val="0021273A"/>
    <w:rsid w:val="00222C0D"/>
    <w:rsid w:val="00226432"/>
    <w:rsid w:val="00235DE2"/>
    <w:rsid w:val="00341691"/>
    <w:rsid w:val="00365518"/>
    <w:rsid w:val="003A05AA"/>
    <w:rsid w:val="003E00E0"/>
    <w:rsid w:val="00465276"/>
    <w:rsid w:val="00477751"/>
    <w:rsid w:val="004879A2"/>
    <w:rsid w:val="004B3218"/>
    <w:rsid w:val="00550E42"/>
    <w:rsid w:val="00592705"/>
    <w:rsid w:val="00596364"/>
    <w:rsid w:val="005A504A"/>
    <w:rsid w:val="005F3B09"/>
    <w:rsid w:val="005F6809"/>
    <w:rsid w:val="00605821"/>
    <w:rsid w:val="00606995"/>
    <w:rsid w:val="00624024"/>
    <w:rsid w:val="00626EE6"/>
    <w:rsid w:val="0071125F"/>
    <w:rsid w:val="007B6DF4"/>
    <w:rsid w:val="0094367F"/>
    <w:rsid w:val="0099731A"/>
    <w:rsid w:val="009A338A"/>
    <w:rsid w:val="009A394F"/>
    <w:rsid w:val="009B6261"/>
    <w:rsid w:val="009D74C9"/>
    <w:rsid w:val="009E7BDB"/>
    <w:rsid w:val="009F28AE"/>
    <w:rsid w:val="00A15A00"/>
    <w:rsid w:val="00A54245"/>
    <w:rsid w:val="00A74419"/>
    <w:rsid w:val="00B66D42"/>
    <w:rsid w:val="00B750F8"/>
    <w:rsid w:val="00B770E3"/>
    <w:rsid w:val="00B9196E"/>
    <w:rsid w:val="00C029B3"/>
    <w:rsid w:val="00C16DE3"/>
    <w:rsid w:val="00C566F8"/>
    <w:rsid w:val="00C65857"/>
    <w:rsid w:val="00CA511D"/>
    <w:rsid w:val="00CD1740"/>
    <w:rsid w:val="00CF586D"/>
    <w:rsid w:val="00D023AD"/>
    <w:rsid w:val="00D53F3A"/>
    <w:rsid w:val="00DA6DE6"/>
    <w:rsid w:val="00DF6368"/>
    <w:rsid w:val="00E36B88"/>
    <w:rsid w:val="00E50862"/>
    <w:rsid w:val="00E57A2B"/>
    <w:rsid w:val="00E60795"/>
    <w:rsid w:val="00ED075C"/>
    <w:rsid w:val="00F4790D"/>
    <w:rsid w:val="00F544A5"/>
    <w:rsid w:val="00F62244"/>
    <w:rsid w:val="00F6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EB59B2"/>
  <w15:docId w15:val="{73E75955-F353-4C08-AA83-F4DDDBC9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3AD"/>
    <w:pPr>
      <w:spacing w:line="25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7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42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424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7C1D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187C1D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e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6306</Characters>
  <Application>Microsoft Office Word</Application>
  <DocSecurity>4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Warachowski, Maciej</dc:creator>
  <cp:lastModifiedBy>Andrzej Babecki</cp:lastModifiedBy>
  <cp:revision>2</cp:revision>
  <dcterms:created xsi:type="dcterms:W3CDTF">2020-12-14T14:30:00Z</dcterms:created>
  <dcterms:modified xsi:type="dcterms:W3CDTF">2020-12-14T14:30:00Z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Maciej_Warachowski@Dell.com</vt:lpwstr>
  </property>
  <property fmtid="{D5CDD505-2E9C-101B-9397-08002B2CF9AE}" pid="5" name="MSIP_Label_7de70ee2-0cb4-4d60-aee5-75ef2c4c8a90_SetDate">
    <vt:lpwstr>2018-06-21T12:31:43.9753004Z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Extended_MSFT_Method">
    <vt:lpwstr>Manual</vt:lpwstr>
  </property>
  <property fmtid="{D5CDD505-2E9C-101B-9397-08002B2CF9AE}" pid="9" name="MSIP_Label_c6e0e3e8-8921-4906-b77b-3374d4e05132_Enabled">
    <vt:lpwstr>True</vt:lpwstr>
  </property>
  <property fmtid="{D5CDD505-2E9C-101B-9397-08002B2CF9AE}" pid="10" name="MSIP_Label_c6e0e3e8-8921-4906-b77b-3374d4e05132_SiteId">
    <vt:lpwstr>945c199a-83a2-4e80-9f8c-5a91be5752dd</vt:lpwstr>
  </property>
  <property fmtid="{D5CDD505-2E9C-101B-9397-08002B2CF9AE}" pid="11" name="MSIP_Label_c6e0e3e8-8921-4906-b77b-3374d4e05132_Owner">
    <vt:lpwstr>Maciej_Warachowski@Dell.com</vt:lpwstr>
  </property>
  <property fmtid="{D5CDD505-2E9C-101B-9397-08002B2CF9AE}" pid="12" name="MSIP_Label_c6e0e3e8-8921-4906-b77b-3374d4e05132_SetDate">
    <vt:lpwstr>2018-06-21T12:31:43.9753004Z</vt:lpwstr>
  </property>
  <property fmtid="{D5CDD505-2E9C-101B-9397-08002B2CF9AE}" pid="13" name="MSIP_Label_c6e0e3e8-8921-4906-b77b-3374d4e05132_Name">
    <vt:lpwstr>No Visual Marking</vt:lpwstr>
  </property>
  <property fmtid="{D5CDD505-2E9C-101B-9397-08002B2CF9AE}" pid="14" name="MSIP_Label_c6e0e3e8-8921-4906-b77b-3374d4e05132_Application">
    <vt:lpwstr>Microsoft Azure Information Protection</vt:lpwstr>
  </property>
  <property fmtid="{D5CDD505-2E9C-101B-9397-08002B2CF9AE}" pid="15" name="MSIP_Label_c6e0e3e8-8921-4906-b77b-3374d4e05132_Parent">
    <vt:lpwstr>7de70ee2-0cb4-4d60-aee5-75ef2c4c8a90</vt:lpwstr>
  </property>
  <property fmtid="{D5CDD505-2E9C-101B-9397-08002B2CF9AE}" pid="16" name="MSIP_Label_c6e0e3e8-8921-4906-b77b-3374d4e05132_Extended_MSFT_Method">
    <vt:lpwstr>Manual</vt:lpwstr>
  </property>
  <property fmtid="{D5CDD505-2E9C-101B-9397-08002B2CF9AE}" pid="17" name="Sensitivity">
    <vt:lpwstr>Internal Use No Visual Marking</vt:lpwstr>
  </property>
</Properties>
</file>