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Pr="00C3117E" w:rsidRDefault="00F36C51" w:rsidP="00F36C51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F36C51" w:rsidRPr="00C3117E" w:rsidRDefault="00F36C51" w:rsidP="00F36C51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23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16 grudnia 2020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 xml:space="preserve">dni/tygodni, licząc od dnia podpisania </w:t>
      </w:r>
      <w:r w:rsidR="00536910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36910" w:rsidRDefault="00536910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B482E"/>
    <w:rsid w:val="00445B1E"/>
    <w:rsid w:val="0046580F"/>
    <w:rsid w:val="00536910"/>
    <w:rsid w:val="005B2579"/>
    <w:rsid w:val="00602B4B"/>
    <w:rsid w:val="007A3E0D"/>
    <w:rsid w:val="007D55C4"/>
    <w:rsid w:val="00807713"/>
    <w:rsid w:val="00D6189A"/>
    <w:rsid w:val="00E122C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F5A4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Sławomir Stafijowski</cp:lastModifiedBy>
  <cp:revision>3</cp:revision>
  <dcterms:created xsi:type="dcterms:W3CDTF">2020-12-28T08:02:00Z</dcterms:created>
  <dcterms:modified xsi:type="dcterms:W3CDTF">2021-02-02T09:31:00Z</dcterms:modified>
</cp:coreProperties>
</file>