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002DFC">
        <w:rPr>
          <w:rFonts w:ascii="Arial" w:hAnsi="Arial" w:cs="Arial"/>
          <w:sz w:val="22"/>
          <w:szCs w:val="22"/>
        </w:rPr>
        <w:t xml:space="preserve"> o zamówieniu nr 0200-ZPRO 263.3.2022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</w:t>
            </w: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.2022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 dnia 29 września 2019 r. - Prawo zamówień  publicznych,</w:t>
            </w:r>
          </w:p>
          <w:p w:rsidR="00002DFC" w:rsidRPr="004204FA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04FA">
              <w:rPr>
                <w:rFonts w:ascii="Arial" w:hAnsi="Arial" w:cs="Arial"/>
                <w:color w:val="000000"/>
                <w:sz w:val="22"/>
                <w:szCs w:val="22"/>
              </w:rPr>
              <w:t xml:space="preserve">rozporządzenia Ministra Rozwoju, Pracy i Technologii z dnia 23 grudnia 2020 r. w sprawie podmiotowych środków dowodowych oraz innych dokumentów lub oświadczeń, jakie może żądać zamawiający od wykonawcy, 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września 2019r.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Ponadto okresy prz</w:t>
            </w:r>
            <w:bookmarkStart w:id="0" w:name="_GoBack"/>
            <w:bookmarkEnd w:id="0"/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EDC">
          <w:rPr>
            <w:noProof/>
          </w:rPr>
          <w:t>2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252024"/>
    <w:rsid w:val="003E0AB3"/>
    <w:rsid w:val="00417279"/>
    <w:rsid w:val="004E13BE"/>
    <w:rsid w:val="0058203D"/>
    <w:rsid w:val="00B23915"/>
    <w:rsid w:val="00BD7EDC"/>
    <w:rsid w:val="00C3360B"/>
    <w:rsid w:val="00C96D62"/>
    <w:rsid w:val="00D63E1A"/>
    <w:rsid w:val="00EA40D8"/>
    <w:rsid w:val="00F53B39"/>
    <w:rsid w:val="00F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C76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10</cp:revision>
  <dcterms:created xsi:type="dcterms:W3CDTF">2020-01-31T12:23:00Z</dcterms:created>
  <dcterms:modified xsi:type="dcterms:W3CDTF">2022-03-08T10:31:00Z</dcterms:modified>
</cp:coreProperties>
</file>