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6BB8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UMOWA</w:t>
      </w:r>
    </w:p>
    <w:p w14:paraId="49F220AC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68DC547A" w14:textId="77777777"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……………………………………………….</w:t>
      </w:r>
      <w:r w:rsidR="00F10A0F" w:rsidRPr="007A3FE6">
        <w:rPr>
          <w:rFonts w:ascii="Times New Roman" w:hAnsi="Times New Roman"/>
          <w:sz w:val="24"/>
          <w:szCs w:val="24"/>
        </w:rPr>
        <w:t xml:space="preserve"> w Warszawie, pomiędzy:</w:t>
      </w:r>
    </w:p>
    <w:p w14:paraId="67A1BF09" w14:textId="77777777" w:rsidR="006C5B64" w:rsidRDefault="006C5B64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Skarbem Państwa -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 xml:space="preserve">Kasą Rolniczego Ubezpieczenia Społecznego </w:t>
      </w:r>
      <w:r>
        <w:rPr>
          <w:rFonts w:ascii="Times New Roman" w:hAnsi="Times New Roman"/>
          <w:sz w:val="24"/>
          <w:szCs w:val="24"/>
        </w:rPr>
        <w:t xml:space="preserve">z </w:t>
      </w:r>
      <w:r w:rsidR="00F446B9">
        <w:rPr>
          <w:rFonts w:ascii="Times New Roman" w:hAnsi="Times New Roman"/>
          <w:sz w:val="24"/>
          <w:szCs w:val="24"/>
        </w:rPr>
        <w:t xml:space="preserve"> siedzibą</w:t>
      </w:r>
      <w:r w:rsidR="00F10A0F" w:rsidRPr="007A3FE6">
        <w:rPr>
          <w:rFonts w:ascii="Times New Roman" w:hAnsi="Times New Roman"/>
          <w:sz w:val="24"/>
          <w:szCs w:val="24"/>
        </w:rPr>
        <w:t xml:space="preserve"> w Warszawie przy Al. Niepodległości 190, 00 – 608 Warszawa, NIP 526-00-13-054, REGON 012513262, reprezentowaną przez</w:t>
      </w:r>
      <w:r>
        <w:rPr>
          <w:rFonts w:ascii="Times New Roman" w:hAnsi="Times New Roman"/>
          <w:sz w:val="24"/>
          <w:szCs w:val="24"/>
        </w:rPr>
        <w:t>:</w:t>
      </w:r>
    </w:p>
    <w:p w14:paraId="432A99A1" w14:textId="77777777" w:rsidR="00A25639" w:rsidRDefault="00A25639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549BC4" w14:textId="77777777" w:rsidR="006C5B64" w:rsidRDefault="006C5B64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…………………………………………………………….. Biura Informatyki i Telekomunikacji </w:t>
      </w:r>
    </w:p>
    <w:p w14:paraId="4CE885B8" w14:textId="77777777" w:rsidR="00F10A0F" w:rsidRPr="007A3FE6" w:rsidRDefault="003B0848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C5B64">
        <w:rPr>
          <w:rFonts w:ascii="Times New Roman" w:hAnsi="Times New Roman"/>
          <w:sz w:val="24"/>
          <w:szCs w:val="24"/>
        </w:rPr>
        <w:t>a podstawie pełnomocnictwa</w:t>
      </w:r>
      <w:r w:rsidR="00F10A0F" w:rsidRPr="007A3FE6">
        <w:rPr>
          <w:rFonts w:ascii="Times New Roman" w:hAnsi="Times New Roman"/>
          <w:sz w:val="24"/>
          <w:szCs w:val="24"/>
        </w:rPr>
        <w:t xml:space="preserve"> Prezesa Kasy Rolniczego Ubezpieczenia Społecznego</w:t>
      </w:r>
      <w:r w:rsidR="006C5B64">
        <w:rPr>
          <w:rFonts w:ascii="Times New Roman" w:hAnsi="Times New Roman"/>
          <w:sz w:val="24"/>
          <w:szCs w:val="24"/>
        </w:rPr>
        <w:t xml:space="preserve"> nr ……….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</w:p>
    <w:p w14:paraId="0F5EC3AE" w14:textId="77777777"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F10A0F" w:rsidRPr="007A3FE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4185A9E6" w14:textId="77777777"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treści</w:t>
      </w:r>
      <w:r w:rsidR="001A5CB0">
        <w:rPr>
          <w:rFonts w:ascii="Times New Roman" w:hAnsi="Times New Roman"/>
          <w:sz w:val="24"/>
          <w:szCs w:val="24"/>
        </w:rPr>
        <w:t xml:space="preserve">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Zamawiającym</w:t>
      </w:r>
      <w:r w:rsidR="00F10A0F" w:rsidRPr="007A3FE6">
        <w:rPr>
          <w:rFonts w:ascii="Times New Roman" w:hAnsi="Times New Roman"/>
          <w:sz w:val="24"/>
          <w:szCs w:val="24"/>
        </w:rPr>
        <w:t>,</w:t>
      </w:r>
    </w:p>
    <w:p w14:paraId="3FD3C588" w14:textId="77777777" w:rsidR="00F10A0F" w:rsidRPr="007A3FE6" w:rsidRDefault="00F10A0F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a </w:t>
      </w:r>
    </w:p>
    <w:p w14:paraId="3A4DB83D" w14:textId="46E089B5" w:rsidR="001B30C4" w:rsidRPr="00500717" w:rsidRDefault="00B23CBC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01"/>
          <w:rFonts w:ascii="Times New Roman" w:hAnsi="Times New Roman"/>
          <w:b w:val="0"/>
        </w:rPr>
        <w:t>……………..</w:t>
      </w:r>
      <w:r w:rsidR="00500717" w:rsidRPr="00500717">
        <w:rPr>
          <w:rStyle w:val="fontstyle01"/>
          <w:rFonts w:ascii="Times New Roman" w:hAnsi="Times New Roman"/>
          <w:b w:val="0"/>
        </w:rPr>
        <w:t>.</w:t>
      </w:r>
      <w:r w:rsidR="00500717" w:rsidRPr="00500717">
        <w:rPr>
          <w:rFonts w:ascii="Times New Roman" w:hAnsi="Times New Roman"/>
          <w:sz w:val="24"/>
          <w:szCs w:val="24"/>
        </w:rPr>
        <w:t xml:space="preserve"> </w:t>
      </w:r>
      <w:r w:rsidR="00687B85" w:rsidRPr="00500717">
        <w:rPr>
          <w:rFonts w:ascii="Times New Roman" w:hAnsi="Times New Roman"/>
          <w:sz w:val="24"/>
          <w:szCs w:val="24"/>
        </w:rPr>
        <w:t>z siedzibą</w:t>
      </w:r>
      <w:r w:rsidR="00500717" w:rsidRPr="00500717"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fontstyle01"/>
          <w:rFonts w:ascii="Times New Roman" w:hAnsi="Times New Roman"/>
          <w:b w:val="0"/>
        </w:rPr>
        <w:t>…………….</w:t>
      </w:r>
      <w:r w:rsidR="00F10A0F" w:rsidRPr="00500717">
        <w:rPr>
          <w:rFonts w:ascii="Times New Roman" w:hAnsi="Times New Roman"/>
          <w:sz w:val="24"/>
          <w:szCs w:val="24"/>
        </w:rPr>
        <w:t>,</w:t>
      </w:r>
      <w:r w:rsidR="00371E29" w:rsidRPr="00500717">
        <w:rPr>
          <w:rFonts w:ascii="Times New Roman" w:hAnsi="Times New Roman"/>
          <w:sz w:val="24"/>
          <w:szCs w:val="24"/>
        </w:rPr>
        <w:t xml:space="preserve"> </w:t>
      </w:r>
      <w:r w:rsidR="00F10A0F" w:rsidRPr="00500717">
        <w:rPr>
          <w:rFonts w:ascii="Times New Roman" w:hAnsi="Times New Roman"/>
          <w:sz w:val="24"/>
          <w:szCs w:val="24"/>
        </w:rPr>
        <w:t>wpisaną do</w:t>
      </w:r>
      <w:r w:rsidR="001B30C4" w:rsidRPr="00500717">
        <w:rPr>
          <w:rFonts w:ascii="Times New Roman" w:hAnsi="Times New Roman"/>
          <w:sz w:val="24"/>
          <w:szCs w:val="24"/>
        </w:rPr>
        <w:t xml:space="preserve"> Rejestru Przedsiębiorców </w:t>
      </w:r>
      <w:r w:rsidR="00F10A0F" w:rsidRPr="00500717">
        <w:rPr>
          <w:rFonts w:ascii="Times New Roman" w:hAnsi="Times New Roman"/>
          <w:sz w:val="24"/>
          <w:szCs w:val="24"/>
        </w:rPr>
        <w:t>Krajowego Rejest</w:t>
      </w:r>
      <w:r w:rsidR="001B30C4" w:rsidRPr="00500717">
        <w:rPr>
          <w:rFonts w:ascii="Times New Roman" w:hAnsi="Times New Roman"/>
          <w:sz w:val="24"/>
          <w:szCs w:val="24"/>
        </w:rPr>
        <w:t>ru Sadowego, pod numerem KRS</w:t>
      </w:r>
      <w:r w:rsidR="00A25639" w:rsidRPr="00500717">
        <w:rPr>
          <w:rFonts w:ascii="Times New Roman" w:hAnsi="Times New Roman"/>
          <w:sz w:val="24"/>
          <w:szCs w:val="24"/>
        </w:rPr>
        <w:t>:</w:t>
      </w:r>
      <w:r w:rsidR="00500717" w:rsidRPr="005007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………………..</w:t>
      </w:r>
      <w:r w:rsidR="00CC0FA5" w:rsidRPr="00500717">
        <w:rPr>
          <w:rFonts w:ascii="Times New Roman" w:hAnsi="Times New Roman"/>
          <w:sz w:val="24"/>
          <w:szCs w:val="24"/>
        </w:rPr>
        <w:t xml:space="preserve">, </w:t>
      </w:r>
      <w:r w:rsidR="001B30C4" w:rsidRPr="00500717">
        <w:rPr>
          <w:rFonts w:ascii="Times New Roman" w:hAnsi="Times New Roman"/>
          <w:sz w:val="24"/>
          <w:szCs w:val="24"/>
        </w:rPr>
        <w:t>NIP</w:t>
      </w:r>
      <w:r w:rsidR="00371E29" w:rsidRPr="0050071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…………..</w:t>
      </w:r>
      <w:r w:rsidR="00CC0FA5" w:rsidRPr="00500717">
        <w:rPr>
          <w:rFonts w:ascii="Times New Roman" w:hAnsi="Times New Roman"/>
          <w:sz w:val="24"/>
          <w:szCs w:val="24"/>
        </w:rPr>
        <w:t xml:space="preserve">, </w:t>
      </w:r>
      <w:r w:rsidR="001B30C4" w:rsidRPr="00500717">
        <w:rPr>
          <w:rFonts w:ascii="Times New Roman" w:hAnsi="Times New Roman"/>
          <w:sz w:val="24"/>
          <w:szCs w:val="24"/>
        </w:rPr>
        <w:t>REGON</w:t>
      </w:r>
      <w:r w:rsidR="00A25639" w:rsidRPr="00500717">
        <w:rPr>
          <w:rFonts w:ascii="Times New Roman" w:hAnsi="Times New Roman"/>
          <w:sz w:val="24"/>
          <w:szCs w:val="24"/>
        </w:rPr>
        <w:t>:</w:t>
      </w:r>
      <w:r w:rsidR="00371E29" w:rsidRPr="005007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………….</w:t>
      </w:r>
      <w:r w:rsidR="00F10A0F" w:rsidRPr="00500717">
        <w:rPr>
          <w:rFonts w:ascii="Times New Roman" w:hAnsi="Times New Roman"/>
          <w:sz w:val="24"/>
          <w:szCs w:val="24"/>
        </w:rPr>
        <w:t>,</w:t>
      </w:r>
      <w:r w:rsidR="00F10A0F" w:rsidRPr="00500717">
        <w:rPr>
          <w:rFonts w:ascii="Times New Roman" w:hAnsi="Times New Roman"/>
          <w:b/>
          <w:sz w:val="24"/>
          <w:szCs w:val="24"/>
        </w:rPr>
        <w:t xml:space="preserve"> </w:t>
      </w:r>
    </w:p>
    <w:p w14:paraId="52A1E116" w14:textId="77777777" w:rsidR="00A25639" w:rsidRPr="00A4730E" w:rsidRDefault="003B0848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reprezentowaną przez</w:t>
      </w:r>
      <w:r w:rsidR="00F10A0F" w:rsidRPr="00A4730E">
        <w:rPr>
          <w:rFonts w:ascii="Times New Roman" w:hAnsi="Times New Roman"/>
          <w:sz w:val="24"/>
          <w:szCs w:val="24"/>
        </w:rPr>
        <w:t>:</w:t>
      </w:r>
    </w:p>
    <w:p w14:paraId="2744FC89" w14:textId="77777777" w:rsidR="003B0848" w:rsidRPr="007A3FE6" w:rsidRDefault="00CC0FA5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B8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</w:p>
    <w:p w14:paraId="1C98CAB2" w14:textId="77777777" w:rsidR="00F10A0F" w:rsidRPr="007A3FE6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treści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Wykonawcą</w:t>
      </w:r>
      <w:r w:rsidR="00F10A0F" w:rsidRPr="007A3FE6">
        <w:rPr>
          <w:rFonts w:ascii="Times New Roman" w:hAnsi="Times New Roman"/>
          <w:sz w:val="24"/>
          <w:szCs w:val="24"/>
        </w:rPr>
        <w:t>,</w:t>
      </w:r>
    </w:p>
    <w:p w14:paraId="2CA4C79C" w14:textId="77777777" w:rsidR="00A25639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i Wykonawca </w:t>
      </w:r>
    </w:p>
    <w:p w14:paraId="488A874F" w14:textId="77777777" w:rsidR="00F10A0F" w:rsidRPr="007A3FE6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zwani</w:t>
      </w:r>
      <w:r w:rsidR="00F10A0F" w:rsidRPr="007A3FE6">
        <w:rPr>
          <w:rFonts w:ascii="Times New Roman" w:hAnsi="Times New Roman"/>
          <w:sz w:val="24"/>
          <w:szCs w:val="24"/>
        </w:rPr>
        <w:t xml:space="preserve"> łącznie</w:t>
      </w:r>
      <w:r>
        <w:rPr>
          <w:rFonts w:ascii="Times New Roman" w:hAnsi="Times New Roman"/>
          <w:sz w:val="24"/>
          <w:szCs w:val="24"/>
        </w:rPr>
        <w:t xml:space="preserve"> w treści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Stronami</w:t>
      </w:r>
      <w:r w:rsidR="00F10A0F" w:rsidRPr="007A3FE6">
        <w:rPr>
          <w:rFonts w:ascii="Times New Roman" w:hAnsi="Times New Roman"/>
          <w:sz w:val="24"/>
          <w:szCs w:val="24"/>
        </w:rPr>
        <w:t>.</w:t>
      </w:r>
    </w:p>
    <w:p w14:paraId="0575C129" w14:textId="77777777" w:rsidR="00C059BD" w:rsidRDefault="00C059BD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1180051C" w14:textId="1FE1449F" w:rsidR="00C7210C" w:rsidRPr="007A3FE6" w:rsidRDefault="00C059BD" w:rsidP="00D1627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C059BD">
        <w:rPr>
          <w:rFonts w:ascii="Times New Roman" w:hAnsi="Times New Roman"/>
          <w:sz w:val="24"/>
          <w:szCs w:val="24"/>
        </w:rPr>
        <w:t>W wyniku przeprowadzenia uproszczonego postępowania, do którego na podstawie art. 2 ust. 1 pkt 1 ustawy z dnia 11 września 2019 r. Prawo zamówień publicznych</w:t>
      </w:r>
      <w:r w:rsidR="00B23CBC">
        <w:rPr>
          <w:rFonts w:ascii="Times New Roman" w:hAnsi="Times New Roman"/>
          <w:sz w:val="24"/>
          <w:szCs w:val="24"/>
        </w:rPr>
        <w:t xml:space="preserve"> (</w:t>
      </w:r>
      <w:r w:rsidR="00C5107A">
        <w:rPr>
          <w:rFonts w:ascii="Times New Roman" w:hAnsi="Times New Roman"/>
          <w:sz w:val="24"/>
          <w:szCs w:val="24"/>
        </w:rPr>
        <w:t>t</w:t>
      </w:r>
      <w:r w:rsidR="00B23CBC" w:rsidRPr="00B23CBC">
        <w:rPr>
          <w:rFonts w:ascii="Times New Roman" w:hAnsi="Times New Roman"/>
          <w:sz w:val="24"/>
          <w:szCs w:val="24"/>
        </w:rPr>
        <w:t>j. Dz.</w:t>
      </w:r>
      <w:r w:rsidR="00B23CBC">
        <w:rPr>
          <w:rFonts w:ascii="Times New Roman" w:hAnsi="Times New Roman"/>
          <w:sz w:val="24"/>
          <w:szCs w:val="24"/>
        </w:rPr>
        <w:t xml:space="preserve"> </w:t>
      </w:r>
      <w:r w:rsidR="00D16270">
        <w:rPr>
          <w:rFonts w:ascii="Times New Roman" w:hAnsi="Times New Roman"/>
          <w:sz w:val="24"/>
          <w:szCs w:val="24"/>
        </w:rPr>
        <w:t>U. z 2022 r. poz. </w:t>
      </w:r>
      <w:r w:rsidR="00B23CBC" w:rsidRPr="00B23CBC">
        <w:rPr>
          <w:rFonts w:ascii="Times New Roman" w:hAnsi="Times New Roman"/>
          <w:sz w:val="24"/>
          <w:szCs w:val="24"/>
        </w:rPr>
        <w:t>1710</w:t>
      </w:r>
      <w:r w:rsidRPr="00C059BD">
        <w:rPr>
          <w:rFonts w:ascii="Times New Roman" w:hAnsi="Times New Roman"/>
          <w:sz w:val="24"/>
          <w:szCs w:val="24"/>
        </w:rPr>
        <w:t>) nie stosuje się przepisów niniejszej ustawy, zawarto Umowę następującej treści:</w:t>
      </w:r>
    </w:p>
    <w:p w14:paraId="7750B406" w14:textId="77777777" w:rsidR="00275315" w:rsidRPr="007A3FE6" w:rsidRDefault="00275315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6E173480" w14:textId="77777777" w:rsidR="00C059BD" w:rsidRDefault="00C059BD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46091D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</w:t>
      </w:r>
      <w:r w:rsidR="001217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FE6">
        <w:rPr>
          <w:rFonts w:ascii="Times New Roman" w:hAnsi="Times New Roman"/>
          <w:b/>
          <w:bCs/>
          <w:sz w:val="24"/>
          <w:szCs w:val="24"/>
        </w:rPr>
        <w:t>1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Definicje</w:t>
      </w:r>
    </w:p>
    <w:p w14:paraId="18D865B2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Użyte w tekście umowy określenia oznaczają odpowiednio: </w:t>
      </w:r>
    </w:p>
    <w:p w14:paraId="40C20E11" w14:textId="769A2206" w:rsid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Dzień roboczy</w:t>
      </w:r>
      <w:r w:rsidRPr="007A3FE6">
        <w:rPr>
          <w:rFonts w:ascii="Times New Roman" w:hAnsi="Times New Roman"/>
          <w:sz w:val="24"/>
          <w:szCs w:val="24"/>
        </w:rPr>
        <w:t xml:space="preserve"> – każdy dzień w godzinach od 9.00 do 16.00, </w:t>
      </w:r>
      <w:r w:rsidR="00D16270">
        <w:rPr>
          <w:rFonts w:ascii="Times New Roman" w:hAnsi="Times New Roman"/>
          <w:sz w:val="24"/>
          <w:szCs w:val="24"/>
        </w:rPr>
        <w:t>z wyłączeniem sobót, niedziel i </w:t>
      </w:r>
      <w:r w:rsidRPr="007A3FE6">
        <w:rPr>
          <w:rFonts w:ascii="Times New Roman" w:hAnsi="Times New Roman"/>
          <w:sz w:val="24"/>
          <w:szCs w:val="24"/>
        </w:rPr>
        <w:t>dni ustawowo wolnych od pracy,</w:t>
      </w:r>
    </w:p>
    <w:p w14:paraId="6FA2890D" w14:textId="77777777" w:rsid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0704">
        <w:rPr>
          <w:rFonts w:ascii="Times New Roman" w:hAnsi="Times New Roman"/>
          <w:b/>
          <w:bCs/>
          <w:sz w:val="24"/>
          <w:szCs w:val="24"/>
        </w:rPr>
        <w:t>System</w:t>
      </w:r>
      <w:r w:rsidRPr="001E0704">
        <w:rPr>
          <w:rFonts w:ascii="Times New Roman" w:hAnsi="Times New Roman"/>
          <w:sz w:val="24"/>
          <w:szCs w:val="24"/>
        </w:rPr>
        <w:t xml:space="preserve"> – System Archiwum (system klasy ECM), do którego odnoszą się usługi będące przedmiotem niniejszej umowy, opisany w</w:t>
      </w:r>
      <w:r w:rsidR="001E0704">
        <w:rPr>
          <w:rFonts w:ascii="Times New Roman" w:hAnsi="Times New Roman"/>
          <w:sz w:val="24"/>
          <w:szCs w:val="24"/>
        </w:rPr>
        <w:t xml:space="preserve"> Załączniku nr 2 – Opis Systemu,</w:t>
      </w:r>
    </w:p>
    <w:p w14:paraId="4970A09F" w14:textId="77777777" w:rsidR="00F10A0F" w:rsidRP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0704">
        <w:rPr>
          <w:rFonts w:ascii="Times New Roman" w:hAnsi="Times New Roman"/>
          <w:b/>
          <w:bCs/>
          <w:sz w:val="24"/>
          <w:szCs w:val="24"/>
        </w:rPr>
        <w:t>Usługa</w:t>
      </w:r>
      <w:r w:rsidRPr="001E0704">
        <w:rPr>
          <w:rFonts w:ascii="Times New Roman" w:hAnsi="Times New Roman"/>
          <w:sz w:val="24"/>
          <w:szCs w:val="24"/>
        </w:rPr>
        <w:t xml:space="preserve"> – wszelkie usługi wykonywane przez Wykonawcę w ramach realizacji przedmiotu Umowy, które znajdują oparcie w jej postanowienia</w:t>
      </w:r>
      <w:r w:rsidR="000745ED" w:rsidRPr="001E0704">
        <w:rPr>
          <w:rFonts w:ascii="Times New Roman" w:hAnsi="Times New Roman"/>
          <w:sz w:val="24"/>
          <w:szCs w:val="24"/>
        </w:rPr>
        <w:t>ch.</w:t>
      </w:r>
    </w:p>
    <w:p w14:paraId="00CED8FE" w14:textId="77777777" w:rsidR="00C7210C" w:rsidRPr="007A3FE6" w:rsidRDefault="00C7210C" w:rsidP="001E0704">
      <w:pPr>
        <w:autoSpaceDE w:val="0"/>
        <w:autoSpaceDN w:val="0"/>
        <w:adjustRightInd w:val="0"/>
        <w:spacing w:after="0" w:line="252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AFCE2" w14:textId="77777777" w:rsidR="00B23CBC" w:rsidRDefault="00B23CBC" w:rsidP="00C7210C">
      <w:pPr>
        <w:autoSpaceDE w:val="0"/>
        <w:autoSpaceDN w:val="0"/>
        <w:adjustRightInd w:val="0"/>
        <w:spacing w:after="0" w:line="252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674AF6" w14:textId="12A3D9E6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 w:rsidR="001217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FE6">
        <w:rPr>
          <w:rFonts w:ascii="Times New Roman" w:hAnsi="Times New Roman"/>
          <w:b/>
          <w:bCs/>
          <w:sz w:val="24"/>
          <w:szCs w:val="24"/>
        </w:rPr>
        <w:t>2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Przedmiot Umowy</w:t>
      </w:r>
    </w:p>
    <w:p w14:paraId="07B38C2C" w14:textId="77777777"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świadczył będzie usługi:</w:t>
      </w:r>
    </w:p>
    <w:p w14:paraId="0E1539EF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administracji i utrzymania Systemu funkcjonującego w ośrodkach obliczeniowych podstawowym i zapasowym,</w:t>
      </w:r>
    </w:p>
    <w:p w14:paraId="5F5C3BA9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konsultacji zdalnych.</w:t>
      </w:r>
    </w:p>
    <w:p w14:paraId="70699C91" w14:textId="77777777"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Umowa w szczególności nie obejmuje:</w:t>
      </w:r>
    </w:p>
    <w:p w14:paraId="1EA86ADA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wprowadzania zmian w funkcjonalności Systemu,</w:t>
      </w:r>
    </w:p>
    <w:p w14:paraId="3E17F08E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wdrażania nowych lub zaktualizowanych wersji Systemu, systemów operacyjnych, baz danych ani i</w:t>
      </w:r>
      <w:r w:rsidR="00C00B27">
        <w:rPr>
          <w:rFonts w:ascii="Times New Roman" w:hAnsi="Times New Roman"/>
          <w:sz w:val="24"/>
          <w:szCs w:val="24"/>
        </w:rPr>
        <w:t>nnych elementów infrastruktury S</w:t>
      </w:r>
      <w:r w:rsidRPr="007A3FE6">
        <w:rPr>
          <w:rFonts w:ascii="Times New Roman" w:hAnsi="Times New Roman"/>
          <w:sz w:val="24"/>
          <w:szCs w:val="24"/>
        </w:rPr>
        <w:t>ystemu,</w:t>
      </w:r>
    </w:p>
    <w:p w14:paraId="37745CBD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migracji lub dostosowywania jakichkolwiek elementów Systemu lub infrastruktury,</w:t>
      </w:r>
    </w:p>
    <w:p w14:paraId="0616A0BF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utrzymywania i aktualizacji dokumentacji Systemu,</w:t>
      </w:r>
    </w:p>
    <w:p w14:paraId="2D2169F3" w14:textId="77777777"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prowadzenia warsztatów lub opracowywania materiałów informacyjnych.</w:t>
      </w:r>
    </w:p>
    <w:p w14:paraId="75EA4958" w14:textId="77777777"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Szczegółowy opis przedmiotu Umowy znajduje się w Załączniku nr 1 do Umowy.</w:t>
      </w:r>
    </w:p>
    <w:p w14:paraId="380CAC68" w14:textId="77777777" w:rsidR="00C7210C" w:rsidRPr="007A3FE6" w:rsidRDefault="00C7210C" w:rsidP="00EE383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ED9F0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3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Zasady realizacji Umowy</w:t>
      </w:r>
    </w:p>
    <w:p w14:paraId="5B3BA2F4" w14:textId="77777777"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Strony będą współpracować w zakresie realizacji przedmiotu Umowy.</w:t>
      </w:r>
    </w:p>
    <w:p w14:paraId="19E75185" w14:textId="77777777"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oświadcza, że zapoznał się z aktualną dokumentacją techniczną Systemu dostępną na dzień zawarcia Umowy.</w:t>
      </w:r>
    </w:p>
    <w:p w14:paraId="5A2F1DDA" w14:textId="77777777"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Sposób, tryb i parametry świadczenia usług określone są w Załączniku nr 1 do Umowy (Szczegółowy opis przedmiotu Umowy).</w:t>
      </w:r>
    </w:p>
    <w:p w14:paraId="5C99196C" w14:textId="77777777"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świadczy usługi w trybie zdalnym z terytorium Polski. W tym celu Zamawiający udostępni Wykonawcy niezbędne kanały VPN do komunikacji</w:t>
      </w:r>
      <w:r w:rsidR="00C00B27">
        <w:rPr>
          <w:rFonts w:ascii="Times New Roman" w:hAnsi="Times New Roman"/>
          <w:sz w:val="24"/>
          <w:szCs w:val="24"/>
        </w:rPr>
        <w:t xml:space="preserve"> </w:t>
      </w:r>
      <w:r w:rsidRPr="007A3FE6">
        <w:rPr>
          <w:rFonts w:ascii="Times New Roman" w:hAnsi="Times New Roman"/>
          <w:sz w:val="24"/>
          <w:szCs w:val="24"/>
        </w:rPr>
        <w:t>z infrastrukturą Systemu.</w:t>
      </w:r>
    </w:p>
    <w:p w14:paraId="78712D48" w14:textId="77777777"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Jeżeli w trakcie wykonania usług Wykonawca stwierdzi konieczność otrzymania danych, których brak uniemożliwia ich wykonanie, Zamawiający jest obowiązany dostarczyć dodatkowe dane w terminie uzgodnionym z Wykonawcą.</w:t>
      </w:r>
    </w:p>
    <w:p w14:paraId="28E31653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C28AC" w14:textId="77777777" w:rsidR="00F10A0F" w:rsidRPr="0077390D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4</w:t>
      </w:r>
      <w:r w:rsidRPr="007A3FE6">
        <w:rPr>
          <w:rFonts w:ascii="Times New Roman" w:hAnsi="Times New Roman"/>
          <w:b/>
          <w:bCs/>
          <w:sz w:val="24"/>
          <w:szCs w:val="24"/>
        </w:rPr>
        <w:br/>
      </w:r>
      <w:r w:rsidRPr="0077390D">
        <w:rPr>
          <w:rFonts w:ascii="Times New Roman" w:hAnsi="Times New Roman"/>
          <w:b/>
          <w:bCs/>
          <w:sz w:val="24"/>
          <w:szCs w:val="24"/>
        </w:rPr>
        <w:t>Terminy Umowy</w:t>
      </w:r>
    </w:p>
    <w:p w14:paraId="5B112301" w14:textId="42E23DA6" w:rsidR="00F10A0F" w:rsidRPr="007A3FE6" w:rsidRDefault="001A7C68" w:rsidP="001217D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obowiązuje w okresie</w:t>
      </w:r>
      <w:r w:rsidR="0077390D">
        <w:rPr>
          <w:rFonts w:ascii="Times New Roman" w:hAnsi="Times New Roman"/>
          <w:sz w:val="24"/>
          <w:szCs w:val="24"/>
        </w:rPr>
        <w:t xml:space="preserve"> od dnia </w:t>
      </w:r>
      <w:r>
        <w:rPr>
          <w:rFonts w:ascii="Times New Roman" w:hAnsi="Times New Roman"/>
          <w:sz w:val="24"/>
          <w:szCs w:val="24"/>
        </w:rPr>
        <w:t>01 kwietnia 2023r.</w:t>
      </w:r>
      <w:r w:rsidR="0077390D">
        <w:rPr>
          <w:rFonts w:ascii="Times New Roman" w:hAnsi="Times New Roman"/>
          <w:sz w:val="24"/>
          <w:szCs w:val="24"/>
        </w:rPr>
        <w:t xml:space="preserve"> do dnia </w:t>
      </w:r>
      <w:r>
        <w:rPr>
          <w:rFonts w:ascii="Times New Roman" w:hAnsi="Times New Roman"/>
          <w:sz w:val="24"/>
          <w:szCs w:val="24"/>
        </w:rPr>
        <w:t>30 listopada 2023r.</w:t>
      </w:r>
    </w:p>
    <w:p w14:paraId="3B78B302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781ECF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5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Osoby do realizacji Umowy</w:t>
      </w:r>
    </w:p>
    <w:p w14:paraId="3B429ED3" w14:textId="77777777" w:rsidR="00F10A0F" w:rsidRPr="00A4730E" w:rsidRDefault="00F10A0F" w:rsidP="00B23CBC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Do realizacji Umowy Wykonawca wyznacza zespół w składzie (co najmniej):</w:t>
      </w:r>
    </w:p>
    <w:p w14:paraId="05D3E444" w14:textId="77777777" w:rsidR="00F10A0F" w:rsidRPr="00B23CBC" w:rsidRDefault="00C00B27" w:rsidP="00B23CBC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B23CBC">
        <w:rPr>
          <w:rFonts w:ascii="Times New Roman" w:hAnsi="Times New Roman"/>
          <w:sz w:val="24"/>
          <w:szCs w:val="24"/>
        </w:rPr>
        <w:t>Kier</w:t>
      </w:r>
      <w:r w:rsidR="00CC0FA5" w:rsidRPr="00B23CBC">
        <w:rPr>
          <w:rFonts w:ascii="Times New Roman" w:hAnsi="Times New Roman"/>
          <w:sz w:val="24"/>
          <w:szCs w:val="24"/>
        </w:rPr>
        <w:t>ownik Projektu – …</w:t>
      </w:r>
      <w:r w:rsidR="00F446B9" w:rsidRPr="00B23CBC">
        <w:rPr>
          <w:rFonts w:ascii="Times New Roman" w:hAnsi="Times New Roman"/>
          <w:sz w:val="24"/>
          <w:szCs w:val="24"/>
        </w:rPr>
        <w:t>………</w:t>
      </w:r>
      <w:r w:rsidR="00E3355F" w:rsidRPr="00B23CBC">
        <w:rPr>
          <w:rFonts w:ascii="Times New Roman" w:hAnsi="Times New Roman"/>
          <w:sz w:val="24"/>
          <w:szCs w:val="24"/>
        </w:rPr>
        <w:t>….</w:t>
      </w:r>
      <w:r w:rsidR="00F446B9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….</w:t>
      </w:r>
      <w:r w:rsidR="00F446B9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....</w:t>
      </w:r>
      <w:r w:rsidR="00F446B9" w:rsidRPr="00B23CBC">
        <w:rPr>
          <w:rFonts w:ascii="Times New Roman" w:hAnsi="Times New Roman"/>
          <w:sz w:val="24"/>
          <w:szCs w:val="24"/>
        </w:rPr>
        <w:t>…</w:t>
      </w:r>
      <w:r w:rsidR="00CC0FA5" w:rsidRPr="00B23CBC">
        <w:rPr>
          <w:rFonts w:ascii="Times New Roman" w:hAnsi="Times New Roman"/>
          <w:sz w:val="24"/>
          <w:szCs w:val="24"/>
        </w:rPr>
        <w:t>.</w:t>
      </w:r>
      <w:r w:rsidR="003B0848" w:rsidRPr="00B23CBC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B23CBC">
        <w:rPr>
          <w:rFonts w:ascii="Times New Roman" w:hAnsi="Times New Roman"/>
          <w:sz w:val="24"/>
          <w:szCs w:val="24"/>
        </w:rPr>
        <w:t>…</w:t>
      </w:r>
      <w:r w:rsidR="00F446B9" w:rsidRPr="00B23CBC">
        <w:rPr>
          <w:rFonts w:ascii="Times New Roman" w:hAnsi="Times New Roman"/>
          <w:sz w:val="24"/>
          <w:szCs w:val="24"/>
        </w:rPr>
        <w:t>……………………..</w:t>
      </w:r>
      <w:r w:rsidR="00CC0FA5" w:rsidRPr="00B23CBC">
        <w:rPr>
          <w:rFonts w:ascii="Times New Roman" w:hAnsi="Times New Roman"/>
          <w:sz w:val="24"/>
          <w:szCs w:val="24"/>
        </w:rPr>
        <w:t>…</w:t>
      </w:r>
    </w:p>
    <w:p w14:paraId="2CE8AF7D" w14:textId="77777777" w:rsidR="003B0848" w:rsidRPr="00B23CBC" w:rsidRDefault="00C00B27" w:rsidP="00B23CBC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B23CBC">
        <w:rPr>
          <w:rFonts w:ascii="Times New Roman" w:hAnsi="Times New Roman"/>
          <w:sz w:val="24"/>
          <w:szCs w:val="24"/>
        </w:rPr>
        <w:t xml:space="preserve">Administrator Systemu </w:t>
      </w:r>
      <w:r w:rsidR="003B0848" w:rsidRPr="00B23CBC">
        <w:rPr>
          <w:rFonts w:ascii="Times New Roman" w:hAnsi="Times New Roman"/>
          <w:sz w:val="24"/>
          <w:szCs w:val="24"/>
        </w:rPr>
        <w:t>–</w:t>
      </w:r>
      <w:r w:rsidRPr="00B23CBC">
        <w:rPr>
          <w:rFonts w:ascii="Times New Roman" w:hAnsi="Times New Roman"/>
          <w:sz w:val="24"/>
          <w:szCs w:val="24"/>
        </w:rPr>
        <w:t xml:space="preserve"> </w:t>
      </w:r>
      <w:r w:rsidR="00CC0FA5" w:rsidRPr="00B23CBC">
        <w:rPr>
          <w:rFonts w:ascii="Times New Roman" w:hAnsi="Times New Roman"/>
          <w:sz w:val="24"/>
          <w:szCs w:val="24"/>
        </w:rPr>
        <w:t>…</w:t>
      </w:r>
      <w:r w:rsidR="00F446B9" w:rsidRPr="00B23CBC">
        <w:rPr>
          <w:rFonts w:ascii="Times New Roman" w:hAnsi="Times New Roman"/>
          <w:sz w:val="24"/>
          <w:szCs w:val="24"/>
        </w:rPr>
        <w:t>……</w:t>
      </w:r>
      <w:r w:rsidR="00A4730E" w:rsidRPr="00B23CBC">
        <w:rPr>
          <w:rFonts w:ascii="Times New Roman" w:hAnsi="Times New Roman"/>
          <w:sz w:val="24"/>
          <w:szCs w:val="24"/>
        </w:rPr>
        <w:t>…</w:t>
      </w:r>
      <w:r w:rsidR="00E3355F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..</w:t>
      </w:r>
      <w:r w:rsidR="00F446B9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…</w:t>
      </w:r>
      <w:r w:rsidR="00F446B9" w:rsidRPr="00B23CBC">
        <w:rPr>
          <w:rFonts w:ascii="Times New Roman" w:hAnsi="Times New Roman"/>
          <w:sz w:val="24"/>
          <w:szCs w:val="24"/>
        </w:rPr>
        <w:t>….</w:t>
      </w:r>
      <w:r w:rsidR="00CC0FA5" w:rsidRPr="00B23CBC">
        <w:rPr>
          <w:rFonts w:ascii="Times New Roman" w:hAnsi="Times New Roman"/>
          <w:sz w:val="24"/>
          <w:szCs w:val="24"/>
        </w:rPr>
        <w:t>..</w:t>
      </w:r>
      <w:r w:rsidR="003B0848" w:rsidRPr="00B23CBC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B23CBC">
        <w:rPr>
          <w:rFonts w:ascii="Times New Roman" w:hAnsi="Times New Roman"/>
          <w:sz w:val="24"/>
          <w:szCs w:val="24"/>
        </w:rPr>
        <w:t>…</w:t>
      </w:r>
      <w:r w:rsidR="00F446B9" w:rsidRPr="00B23CBC">
        <w:rPr>
          <w:rFonts w:ascii="Times New Roman" w:hAnsi="Times New Roman"/>
          <w:sz w:val="24"/>
          <w:szCs w:val="24"/>
        </w:rPr>
        <w:t>……………………..</w:t>
      </w:r>
      <w:r w:rsidR="00CC0FA5" w:rsidRPr="00B23CBC">
        <w:rPr>
          <w:rFonts w:ascii="Times New Roman" w:hAnsi="Times New Roman"/>
          <w:sz w:val="24"/>
          <w:szCs w:val="24"/>
        </w:rPr>
        <w:t>…</w:t>
      </w:r>
    </w:p>
    <w:p w14:paraId="75A11D62" w14:textId="77777777" w:rsidR="003B0848" w:rsidRPr="00B23CBC" w:rsidRDefault="003B0848" w:rsidP="00B23CBC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B23CBC">
        <w:rPr>
          <w:rFonts w:ascii="Times New Roman" w:hAnsi="Times New Roman"/>
          <w:sz w:val="24"/>
          <w:szCs w:val="24"/>
        </w:rPr>
        <w:t>Koor</w:t>
      </w:r>
      <w:r w:rsidR="00CC0FA5" w:rsidRPr="00B23CBC">
        <w:rPr>
          <w:rFonts w:ascii="Times New Roman" w:hAnsi="Times New Roman"/>
          <w:sz w:val="24"/>
          <w:szCs w:val="24"/>
        </w:rPr>
        <w:t>dynator Projektu – …</w:t>
      </w:r>
      <w:r w:rsidR="00F446B9" w:rsidRPr="00B23CBC">
        <w:rPr>
          <w:rFonts w:ascii="Times New Roman" w:hAnsi="Times New Roman"/>
          <w:sz w:val="24"/>
          <w:szCs w:val="24"/>
        </w:rPr>
        <w:t>……</w:t>
      </w:r>
      <w:r w:rsidR="00A4730E" w:rsidRPr="00B23CBC">
        <w:rPr>
          <w:rFonts w:ascii="Times New Roman" w:hAnsi="Times New Roman"/>
          <w:sz w:val="24"/>
          <w:szCs w:val="24"/>
        </w:rPr>
        <w:t>.</w:t>
      </w:r>
      <w:r w:rsidR="00F446B9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…</w:t>
      </w:r>
      <w:r w:rsidR="00E3355F" w:rsidRPr="00B23CBC">
        <w:rPr>
          <w:rFonts w:ascii="Times New Roman" w:hAnsi="Times New Roman"/>
          <w:sz w:val="24"/>
          <w:szCs w:val="24"/>
        </w:rPr>
        <w:t>…</w:t>
      </w:r>
      <w:r w:rsidR="00A4730E" w:rsidRPr="00B23CBC">
        <w:rPr>
          <w:rFonts w:ascii="Times New Roman" w:hAnsi="Times New Roman"/>
          <w:sz w:val="24"/>
          <w:szCs w:val="24"/>
        </w:rPr>
        <w:t>….</w:t>
      </w:r>
      <w:r w:rsidR="00F446B9" w:rsidRPr="00B23CBC">
        <w:rPr>
          <w:rFonts w:ascii="Times New Roman" w:hAnsi="Times New Roman"/>
          <w:sz w:val="24"/>
          <w:szCs w:val="24"/>
        </w:rPr>
        <w:t>……</w:t>
      </w:r>
      <w:r w:rsidR="00CC0FA5" w:rsidRPr="00B23CBC">
        <w:rPr>
          <w:rFonts w:ascii="Times New Roman" w:hAnsi="Times New Roman"/>
          <w:sz w:val="24"/>
          <w:szCs w:val="24"/>
        </w:rPr>
        <w:t>.</w:t>
      </w:r>
      <w:r w:rsidRPr="00B23CBC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B23CBC">
        <w:rPr>
          <w:rFonts w:ascii="Times New Roman" w:hAnsi="Times New Roman"/>
          <w:sz w:val="24"/>
          <w:szCs w:val="24"/>
        </w:rPr>
        <w:t>…</w:t>
      </w:r>
      <w:r w:rsidR="00F446B9" w:rsidRPr="00B23CBC">
        <w:rPr>
          <w:rFonts w:ascii="Times New Roman" w:hAnsi="Times New Roman"/>
          <w:sz w:val="24"/>
          <w:szCs w:val="24"/>
        </w:rPr>
        <w:t>……………………...</w:t>
      </w:r>
      <w:r w:rsidR="00CC0FA5" w:rsidRPr="00B23CBC">
        <w:rPr>
          <w:rFonts w:ascii="Times New Roman" w:hAnsi="Times New Roman"/>
          <w:sz w:val="24"/>
          <w:szCs w:val="24"/>
        </w:rPr>
        <w:t>...</w:t>
      </w:r>
    </w:p>
    <w:p w14:paraId="40F123AD" w14:textId="77777777" w:rsidR="00F10A0F" w:rsidRPr="00A4730E" w:rsidRDefault="00F10A0F" w:rsidP="00B23CBC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Do bieżącej komun</w:t>
      </w:r>
      <w:r w:rsidR="00F446B9" w:rsidRPr="00A4730E">
        <w:rPr>
          <w:rFonts w:ascii="Times New Roman" w:hAnsi="Times New Roman"/>
          <w:sz w:val="24"/>
          <w:szCs w:val="24"/>
        </w:rPr>
        <w:t>ikacji z Wykonawcą Zamawiający</w:t>
      </w:r>
      <w:r w:rsidRPr="00A4730E">
        <w:rPr>
          <w:rFonts w:ascii="Times New Roman" w:hAnsi="Times New Roman"/>
          <w:sz w:val="24"/>
          <w:szCs w:val="24"/>
        </w:rPr>
        <w:t xml:space="preserve"> wyzn</w:t>
      </w:r>
      <w:r w:rsidR="00CC0FA5" w:rsidRPr="00A4730E">
        <w:rPr>
          <w:rFonts w:ascii="Times New Roman" w:hAnsi="Times New Roman"/>
          <w:sz w:val="24"/>
          <w:szCs w:val="24"/>
        </w:rPr>
        <w:t>acza jedną osobę: …</w:t>
      </w:r>
      <w:r w:rsidR="00F446B9" w:rsidRPr="00A4730E">
        <w:rPr>
          <w:rFonts w:ascii="Times New Roman" w:hAnsi="Times New Roman"/>
          <w:sz w:val="24"/>
          <w:szCs w:val="24"/>
        </w:rPr>
        <w:t>………</w:t>
      </w:r>
      <w:r w:rsidR="00A4730E">
        <w:rPr>
          <w:rFonts w:ascii="Times New Roman" w:hAnsi="Times New Roman"/>
          <w:sz w:val="24"/>
          <w:szCs w:val="24"/>
        </w:rPr>
        <w:t>……..</w:t>
      </w:r>
      <w:r w:rsidR="00F446B9" w:rsidRPr="00A4730E">
        <w:rPr>
          <w:rFonts w:ascii="Times New Roman" w:hAnsi="Times New Roman"/>
          <w:sz w:val="24"/>
          <w:szCs w:val="24"/>
        </w:rPr>
        <w:t>………………</w:t>
      </w:r>
      <w:r w:rsidR="00A4730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F446B9" w:rsidRPr="00A4730E">
        <w:rPr>
          <w:rFonts w:ascii="Times New Roman" w:hAnsi="Times New Roman"/>
          <w:sz w:val="24"/>
          <w:szCs w:val="24"/>
        </w:rPr>
        <w:t>…..</w:t>
      </w:r>
      <w:r w:rsidR="003B0848" w:rsidRPr="00A4730E">
        <w:rPr>
          <w:rFonts w:ascii="Times New Roman" w:hAnsi="Times New Roman"/>
          <w:sz w:val="24"/>
          <w:szCs w:val="24"/>
        </w:rPr>
        <w:t>, adres mai</w:t>
      </w:r>
      <w:r w:rsidR="00CC0FA5" w:rsidRPr="00A4730E">
        <w:rPr>
          <w:rFonts w:ascii="Times New Roman" w:hAnsi="Times New Roman"/>
          <w:sz w:val="24"/>
          <w:szCs w:val="24"/>
        </w:rPr>
        <w:t>l: …</w:t>
      </w:r>
      <w:r w:rsidR="00F446B9" w:rsidRPr="00A4730E">
        <w:rPr>
          <w:rFonts w:ascii="Times New Roman" w:hAnsi="Times New Roman"/>
          <w:sz w:val="24"/>
          <w:szCs w:val="24"/>
        </w:rPr>
        <w:t>……</w:t>
      </w:r>
      <w:r w:rsidR="00A4730E">
        <w:rPr>
          <w:rFonts w:ascii="Times New Roman" w:hAnsi="Times New Roman"/>
          <w:sz w:val="24"/>
          <w:szCs w:val="24"/>
        </w:rPr>
        <w:t>………………………………..</w:t>
      </w:r>
      <w:r w:rsidR="00F446B9" w:rsidRPr="00A4730E">
        <w:rPr>
          <w:rFonts w:ascii="Times New Roman" w:hAnsi="Times New Roman"/>
          <w:sz w:val="24"/>
          <w:szCs w:val="24"/>
        </w:rPr>
        <w:t>…………………………………..</w:t>
      </w:r>
      <w:r w:rsidR="00CC0FA5" w:rsidRPr="00A4730E">
        <w:rPr>
          <w:rFonts w:ascii="Times New Roman" w:hAnsi="Times New Roman"/>
          <w:sz w:val="24"/>
          <w:szCs w:val="24"/>
        </w:rPr>
        <w:t>.</w:t>
      </w:r>
    </w:p>
    <w:p w14:paraId="7DF26D0D" w14:textId="77777777"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 ciągu 3 dni roboczych od zawarcia Umowy, Wykonawca przedstawi oświadczenia osób/podmiotów wyznaczonych do realizac</w:t>
      </w:r>
      <w:r w:rsidR="00BD6FA2">
        <w:rPr>
          <w:rFonts w:ascii="Times New Roman" w:hAnsi="Times New Roman"/>
          <w:sz w:val="24"/>
          <w:szCs w:val="24"/>
        </w:rPr>
        <w:t xml:space="preserve">ji Umowy, o których mowa w § 9 </w:t>
      </w:r>
      <w:r w:rsidRPr="007A3FE6">
        <w:rPr>
          <w:rFonts w:ascii="Times New Roman" w:hAnsi="Times New Roman"/>
          <w:sz w:val="24"/>
          <w:szCs w:val="24"/>
        </w:rPr>
        <w:t>ust. 2.</w:t>
      </w:r>
    </w:p>
    <w:p w14:paraId="584E7752" w14:textId="77777777"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Za działania, zaniechania oraz skutki działań i zaniechań </w:t>
      </w:r>
      <w:r w:rsidR="00F446B9">
        <w:rPr>
          <w:rFonts w:ascii="Times New Roman" w:hAnsi="Times New Roman"/>
          <w:sz w:val="24"/>
          <w:szCs w:val="24"/>
        </w:rPr>
        <w:t xml:space="preserve">pracowników, współpracowników, </w:t>
      </w:r>
      <w:r w:rsidR="00F446B9">
        <w:rPr>
          <w:rFonts w:ascii="Times New Roman" w:hAnsi="Times New Roman"/>
          <w:sz w:val="24"/>
          <w:szCs w:val="24"/>
        </w:rPr>
        <w:lastRenderedPageBreak/>
        <w:t>P</w:t>
      </w:r>
      <w:r w:rsidRPr="007A3FE6">
        <w:rPr>
          <w:rFonts w:ascii="Times New Roman" w:hAnsi="Times New Roman"/>
          <w:sz w:val="24"/>
          <w:szCs w:val="24"/>
        </w:rPr>
        <w:t>odwykonawców oraz innych osób, przy udziale których Wykonawca realizuje przedmiot umowy, ponosi on odpowiedzialność jak za działania własne.</w:t>
      </w:r>
    </w:p>
    <w:p w14:paraId="55445855" w14:textId="77777777"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Zmiany </w:t>
      </w:r>
      <w:r w:rsidR="00F446B9">
        <w:rPr>
          <w:rFonts w:ascii="Times New Roman" w:hAnsi="Times New Roman"/>
          <w:sz w:val="24"/>
          <w:szCs w:val="24"/>
        </w:rPr>
        <w:t>P</w:t>
      </w:r>
      <w:r w:rsidRPr="007A3FE6">
        <w:rPr>
          <w:rFonts w:ascii="Times New Roman" w:hAnsi="Times New Roman"/>
          <w:sz w:val="24"/>
          <w:szCs w:val="24"/>
        </w:rPr>
        <w:t>odwykonawców i osób wyznaczonych do realizacji Umowy przez Strony nie stanowią zmiany Umowy. Każda Strona zobowiązana jest poinformować drugą Stronę</w:t>
      </w:r>
      <w:r w:rsidR="00C00B27">
        <w:rPr>
          <w:rFonts w:ascii="Times New Roman" w:hAnsi="Times New Roman"/>
          <w:sz w:val="24"/>
          <w:szCs w:val="24"/>
        </w:rPr>
        <w:t xml:space="preserve">            </w:t>
      </w:r>
      <w:r w:rsidRPr="007A3FE6">
        <w:rPr>
          <w:rFonts w:ascii="Times New Roman" w:hAnsi="Times New Roman"/>
          <w:sz w:val="24"/>
          <w:szCs w:val="24"/>
        </w:rPr>
        <w:t xml:space="preserve"> o zmianie na piśmie. Postanowienia ust. 3 stosuje się odpowiednio.</w:t>
      </w:r>
    </w:p>
    <w:p w14:paraId="39FDA306" w14:textId="77777777" w:rsidR="00D66462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Językiem komunikacji podczas realizacji Umowy jest język polski.</w:t>
      </w:r>
    </w:p>
    <w:p w14:paraId="5263F778" w14:textId="77777777" w:rsidR="00761FD5" w:rsidRPr="00761FD5" w:rsidRDefault="00761FD5" w:rsidP="00761FD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60198BB6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6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Parametry jakości świadczenia usług (SLA)</w:t>
      </w:r>
    </w:p>
    <w:p w14:paraId="4F11AC25" w14:textId="77777777" w:rsidR="00F10A0F" w:rsidRPr="007A3FE6" w:rsidRDefault="00F10A0F" w:rsidP="001217D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Parametry jakości świadczonych usług (SLA) określa Załącznik nr 1 do Umowy.</w:t>
      </w:r>
    </w:p>
    <w:p w14:paraId="7405D7E9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3908FF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7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Wynagrodzenie</w:t>
      </w:r>
    </w:p>
    <w:p w14:paraId="6A1AE225" w14:textId="3C2D9D4D" w:rsidR="00F10A0F" w:rsidRPr="007A3FE6" w:rsidRDefault="00362A87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</w:t>
      </w:r>
      <w:r w:rsidR="00F10A0F" w:rsidRPr="007A3FE6">
        <w:rPr>
          <w:rFonts w:ascii="Times New Roman" w:hAnsi="Times New Roman"/>
          <w:sz w:val="24"/>
          <w:szCs w:val="24"/>
        </w:rPr>
        <w:t xml:space="preserve">ynagrodzenie </w:t>
      </w:r>
      <w:r w:rsidRPr="007A3FE6">
        <w:rPr>
          <w:rFonts w:ascii="Times New Roman" w:hAnsi="Times New Roman"/>
          <w:sz w:val="24"/>
          <w:szCs w:val="24"/>
        </w:rPr>
        <w:t>całkowite Wykonawcy za realizację przedmiotu</w:t>
      </w:r>
      <w:r w:rsidR="00F10A0F" w:rsidRPr="007A3FE6">
        <w:rPr>
          <w:rFonts w:ascii="Times New Roman" w:hAnsi="Times New Roman"/>
          <w:sz w:val="24"/>
          <w:szCs w:val="24"/>
        </w:rPr>
        <w:t xml:space="preserve"> Umowy nie przekroczy kwoty </w:t>
      </w:r>
      <w:r w:rsidR="00B23CBC">
        <w:rPr>
          <w:rFonts w:ascii="Times New Roman" w:hAnsi="Times New Roman"/>
          <w:sz w:val="24"/>
          <w:szCs w:val="24"/>
        </w:rPr>
        <w:t>……………..</w:t>
      </w:r>
      <w:r w:rsidRPr="007A3FE6">
        <w:rPr>
          <w:rFonts w:ascii="Times New Roman" w:hAnsi="Times New Roman"/>
          <w:bCs/>
          <w:sz w:val="24"/>
          <w:szCs w:val="24"/>
        </w:rPr>
        <w:t xml:space="preserve"> zł netto</w:t>
      </w:r>
      <w:r w:rsidR="00CC0FA5">
        <w:rPr>
          <w:rFonts w:ascii="Times New Roman" w:hAnsi="Times New Roman"/>
          <w:sz w:val="24"/>
          <w:szCs w:val="24"/>
        </w:rPr>
        <w:t xml:space="preserve"> (słownie: </w:t>
      </w:r>
      <w:r w:rsidR="00B23CBC">
        <w:rPr>
          <w:rFonts w:ascii="Times New Roman" w:hAnsi="Times New Roman"/>
          <w:sz w:val="24"/>
          <w:szCs w:val="24"/>
        </w:rPr>
        <w:t>…………………</w:t>
      </w:r>
      <w:r w:rsidR="00792745">
        <w:rPr>
          <w:rFonts w:ascii="Times New Roman" w:hAnsi="Times New Roman"/>
          <w:sz w:val="24"/>
          <w:szCs w:val="24"/>
        </w:rPr>
        <w:t xml:space="preserve"> zł </w:t>
      </w:r>
      <w:r w:rsidRPr="007A3FE6">
        <w:rPr>
          <w:rFonts w:ascii="Times New Roman" w:hAnsi="Times New Roman"/>
          <w:sz w:val="24"/>
          <w:szCs w:val="24"/>
        </w:rPr>
        <w:t>00/100) plus podatek VAT w wysokości 23 % co stanowi k</w:t>
      </w:r>
      <w:r w:rsidR="00C802EE">
        <w:rPr>
          <w:rFonts w:ascii="Times New Roman" w:hAnsi="Times New Roman"/>
          <w:sz w:val="24"/>
          <w:szCs w:val="24"/>
        </w:rPr>
        <w:t xml:space="preserve">wotę </w:t>
      </w:r>
      <w:r w:rsidR="00B23CBC">
        <w:rPr>
          <w:rFonts w:ascii="TimesNewRomanPSMT" w:hAnsi="TimesNewRomanPSMT"/>
          <w:color w:val="000000"/>
          <w:sz w:val="24"/>
          <w:szCs w:val="24"/>
        </w:rPr>
        <w:t>…………..</w:t>
      </w:r>
      <w:r w:rsidR="00500717" w:rsidRPr="00500717">
        <w:t xml:space="preserve"> </w:t>
      </w:r>
      <w:r w:rsidR="00C802EE">
        <w:rPr>
          <w:rFonts w:ascii="Times New Roman" w:hAnsi="Times New Roman"/>
          <w:sz w:val="24"/>
          <w:szCs w:val="24"/>
        </w:rPr>
        <w:t>zł brutto (słownie:</w:t>
      </w:r>
      <w:r w:rsidR="00A4730E">
        <w:rPr>
          <w:rFonts w:ascii="Times New Roman" w:hAnsi="Times New Roman"/>
          <w:sz w:val="24"/>
          <w:szCs w:val="24"/>
        </w:rPr>
        <w:t xml:space="preserve"> </w:t>
      </w:r>
      <w:r w:rsidR="00B23CBC">
        <w:rPr>
          <w:rFonts w:ascii="Times New Roman" w:hAnsi="Times New Roman"/>
          <w:sz w:val="24"/>
          <w:szCs w:val="24"/>
        </w:rPr>
        <w:t>…………..</w:t>
      </w:r>
      <w:r w:rsidR="00500717">
        <w:rPr>
          <w:rFonts w:ascii="Times New Roman" w:hAnsi="Times New Roman"/>
          <w:sz w:val="24"/>
          <w:szCs w:val="24"/>
        </w:rPr>
        <w:t xml:space="preserve"> </w:t>
      </w:r>
      <w:r w:rsidR="00C802EE">
        <w:rPr>
          <w:rFonts w:ascii="Times New Roman" w:hAnsi="Times New Roman"/>
          <w:sz w:val="24"/>
          <w:szCs w:val="24"/>
        </w:rPr>
        <w:t xml:space="preserve">zł </w:t>
      </w:r>
      <w:r w:rsidRPr="007A3FE6">
        <w:rPr>
          <w:rFonts w:ascii="Times New Roman" w:hAnsi="Times New Roman"/>
          <w:sz w:val="24"/>
          <w:szCs w:val="24"/>
        </w:rPr>
        <w:t>00/100).</w:t>
      </w:r>
    </w:p>
    <w:p w14:paraId="24629889" w14:textId="499AD34E" w:rsidR="005A0016" w:rsidRDefault="00F10A0F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za wykonywanie przedmiotu Umowy</w:t>
      </w:r>
      <w:r w:rsidR="001A7C68">
        <w:rPr>
          <w:rFonts w:ascii="Times New Roman" w:hAnsi="Times New Roman"/>
          <w:sz w:val="24"/>
          <w:szCs w:val="24"/>
        </w:rPr>
        <w:t>,</w:t>
      </w:r>
      <w:r w:rsidRPr="007A3FE6">
        <w:rPr>
          <w:rFonts w:ascii="Times New Roman" w:hAnsi="Times New Roman"/>
          <w:sz w:val="24"/>
          <w:szCs w:val="24"/>
        </w:rPr>
        <w:t xml:space="preserve"> o którym mowa w §</w:t>
      </w:r>
      <w:r w:rsidR="00CC0FA5">
        <w:rPr>
          <w:rFonts w:ascii="Times New Roman" w:hAnsi="Times New Roman"/>
          <w:sz w:val="24"/>
          <w:szCs w:val="24"/>
        </w:rPr>
        <w:t xml:space="preserve"> </w:t>
      </w:r>
      <w:r w:rsidRPr="007A3FE6">
        <w:rPr>
          <w:rFonts w:ascii="Times New Roman" w:hAnsi="Times New Roman"/>
          <w:sz w:val="24"/>
          <w:szCs w:val="24"/>
        </w:rPr>
        <w:t>2 us</w:t>
      </w:r>
      <w:r w:rsidR="001A7C68">
        <w:rPr>
          <w:rFonts w:ascii="Times New Roman" w:hAnsi="Times New Roman"/>
          <w:sz w:val="24"/>
          <w:szCs w:val="24"/>
        </w:rPr>
        <w:t>t.1 Umowy otrzyma za każdy</w:t>
      </w:r>
      <w:r w:rsidRPr="007A3FE6">
        <w:rPr>
          <w:rFonts w:ascii="Times New Roman" w:hAnsi="Times New Roman"/>
          <w:sz w:val="24"/>
          <w:szCs w:val="24"/>
        </w:rPr>
        <w:t xml:space="preserve"> miesiąc świadczenia usług</w:t>
      </w:r>
      <w:r w:rsidR="005A0016" w:rsidRPr="007A3FE6">
        <w:rPr>
          <w:rFonts w:ascii="Times New Roman" w:hAnsi="Times New Roman"/>
          <w:sz w:val="24"/>
          <w:szCs w:val="24"/>
        </w:rPr>
        <w:t>,</w:t>
      </w:r>
      <w:r w:rsidRPr="007A3FE6">
        <w:rPr>
          <w:rFonts w:ascii="Times New Roman" w:hAnsi="Times New Roman"/>
          <w:sz w:val="24"/>
          <w:szCs w:val="24"/>
        </w:rPr>
        <w:t xml:space="preserve"> ryczał</w:t>
      </w:r>
      <w:r w:rsidR="001A7C68">
        <w:rPr>
          <w:rFonts w:ascii="Times New Roman" w:hAnsi="Times New Roman"/>
          <w:sz w:val="24"/>
          <w:szCs w:val="24"/>
        </w:rPr>
        <w:t>towe miesięczne wynagrodzenie w </w:t>
      </w:r>
      <w:r w:rsidRPr="007A3FE6">
        <w:rPr>
          <w:rFonts w:ascii="Times New Roman" w:hAnsi="Times New Roman"/>
          <w:sz w:val="24"/>
          <w:szCs w:val="24"/>
        </w:rPr>
        <w:t xml:space="preserve">wysokości </w:t>
      </w:r>
      <w:r w:rsidR="00B23CBC">
        <w:rPr>
          <w:rFonts w:ascii="TimesNewRomanPSMT" w:hAnsi="TimesNewRomanPSMT"/>
          <w:color w:val="000000"/>
          <w:sz w:val="24"/>
          <w:szCs w:val="24"/>
        </w:rPr>
        <w:t>………..</w:t>
      </w:r>
      <w:r w:rsidR="00500717" w:rsidRPr="00500717">
        <w:t xml:space="preserve"> </w:t>
      </w:r>
      <w:r w:rsidR="005A0016" w:rsidRPr="007A3FE6">
        <w:rPr>
          <w:rFonts w:ascii="Times New Roman" w:hAnsi="Times New Roman"/>
          <w:bCs/>
          <w:sz w:val="24"/>
          <w:szCs w:val="24"/>
        </w:rPr>
        <w:t>zł</w:t>
      </w:r>
      <w:r w:rsidR="00C802EE">
        <w:rPr>
          <w:rFonts w:ascii="Times New Roman" w:hAnsi="Times New Roman"/>
          <w:sz w:val="24"/>
          <w:szCs w:val="24"/>
        </w:rPr>
        <w:t xml:space="preserve"> </w:t>
      </w:r>
      <w:r w:rsidR="001B30C4">
        <w:rPr>
          <w:rFonts w:ascii="Times New Roman" w:hAnsi="Times New Roman"/>
          <w:sz w:val="24"/>
          <w:szCs w:val="24"/>
        </w:rPr>
        <w:t xml:space="preserve">brutto </w:t>
      </w:r>
      <w:r w:rsidR="00A4730E">
        <w:rPr>
          <w:rFonts w:ascii="Times New Roman" w:hAnsi="Times New Roman"/>
          <w:sz w:val="24"/>
          <w:szCs w:val="24"/>
        </w:rPr>
        <w:t xml:space="preserve">(słownie: </w:t>
      </w:r>
      <w:r w:rsidR="00B23CBC">
        <w:rPr>
          <w:rFonts w:ascii="Times New Roman" w:hAnsi="Times New Roman"/>
          <w:sz w:val="24"/>
          <w:szCs w:val="24"/>
        </w:rPr>
        <w:t>…………..</w:t>
      </w:r>
      <w:r w:rsidR="00A4730E">
        <w:rPr>
          <w:rFonts w:ascii="Times New Roman" w:hAnsi="Times New Roman"/>
          <w:sz w:val="24"/>
          <w:szCs w:val="24"/>
        </w:rPr>
        <w:t xml:space="preserve"> </w:t>
      </w:r>
      <w:r w:rsidR="00500717">
        <w:rPr>
          <w:rFonts w:ascii="Times New Roman" w:hAnsi="Times New Roman"/>
          <w:sz w:val="24"/>
          <w:szCs w:val="24"/>
        </w:rPr>
        <w:t xml:space="preserve">zł </w:t>
      </w:r>
      <w:r w:rsidR="00B23CBC">
        <w:rPr>
          <w:rFonts w:ascii="Times New Roman" w:hAnsi="Times New Roman"/>
          <w:sz w:val="24"/>
          <w:szCs w:val="24"/>
        </w:rPr>
        <w:t>00</w:t>
      </w:r>
      <w:r w:rsidR="00F446B9">
        <w:rPr>
          <w:rFonts w:ascii="Times New Roman" w:hAnsi="Times New Roman"/>
          <w:sz w:val="24"/>
          <w:szCs w:val="24"/>
        </w:rPr>
        <w:t>/100) w tym</w:t>
      </w:r>
      <w:r w:rsidR="005A0016" w:rsidRPr="007A3FE6">
        <w:rPr>
          <w:rFonts w:ascii="Times New Roman" w:hAnsi="Times New Roman"/>
          <w:sz w:val="24"/>
          <w:szCs w:val="24"/>
        </w:rPr>
        <w:t xml:space="preserve"> podate</w:t>
      </w:r>
      <w:r w:rsidR="00F446B9">
        <w:rPr>
          <w:rFonts w:ascii="Times New Roman" w:hAnsi="Times New Roman"/>
          <w:sz w:val="24"/>
          <w:szCs w:val="24"/>
        </w:rPr>
        <w:t>k</w:t>
      </w:r>
      <w:r w:rsidR="005A0016" w:rsidRPr="007A3FE6">
        <w:rPr>
          <w:rFonts w:ascii="Times New Roman" w:hAnsi="Times New Roman"/>
          <w:sz w:val="24"/>
          <w:szCs w:val="24"/>
        </w:rPr>
        <w:t xml:space="preserve"> VAT</w:t>
      </w:r>
      <w:r w:rsidR="001A7C68">
        <w:rPr>
          <w:rFonts w:ascii="Times New Roman" w:hAnsi="Times New Roman"/>
          <w:sz w:val="24"/>
          <w:szCs w:val="24"/>
        </w:rPr>
        <w:t xml:space="preserve"> w </w:t>
      </w:r>
      <w:r w:rsidR="001C6C36">
        <w:rPr>
          <w:rFonts w:ascii="Times New Roman" w:hAnsi="Times New Roman"/>
          <w:sz w:val="24"/>
          <w:szCs w:val="24"/>
        </w:rPr>
        <w:t>wysokości 23%</w:t>
      </w:r>
      <w:r w:rsidR="005A0016" w:rsidRPr="007A3FE6">
        <w:rPr>
          <w:rFonts w:ascii="Times New Roman" w:hAnsi="Times New Roman"/>
          <w:sz w:val="24"/>
          <w:szCs w:val="24"/>
        </w:rPr>
        <w:t>.</w:t>
      </w:r>
    </w:p>
    <w:p w14:paraId="7582733E" w14:textId="77777777"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Podstawą do zapłaty faktury VAT będzie Raport z realizacji usług podpisany bez zastrzeżeń przez upoważnionych przedstawicieli Stron. Wzór Raportu z realizacji usłu</w:t>
      </w:r>
      <w:r w:rsidR="00500717">
        <w:rPr>
          <w:rStyle w:val="FontStyle18"/>
          <w:sz w:val="24"/>
          <w:szCs w:val="24"/>
        </w:rPr>
        <w:t>g zamieszczono w </w:t>
      </w:r>
      <w:r w:rsidR="00C00B27">
        <w:rPr>
          <w:rStyle w:val="FontStyle18"/>
          <w:sz w:val="24"/>
          <w:szCs w:val="24"/>
        </w:rPr>
        <w:t>Załączniku nr 3</w:t>
      </w:r>
      <w:r w:rsidRPr="007A3FE6">
        <w:rPr>
          <w:rStyle w:val="FontStyle18"/>
          <w:sz w:val="24"/>
          <w:szCs w:val="24"/>
        </w:rPr>
        <w:t xml:space="preserve"> do Umowy.</w:t>
      </w:r>
    </w:p>
    <w:p w14:paraId="288C098F" w14:textId="77777777"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Zapłata wynagrodzenia za wykonanie przedmiotu umowy nastąpi przelewem na rachunek bankowy Wykonawcy, wskazany w fakturze VAT, w terminie 14 dni od daty dostarczenia do siedziby Zamawiającego poprawnie wystawione</w:t>
      </w:r>
      <w:r w:rsidR="001E0704">
        <w:rPr>
          <w:rStyle w:val="FontStyle18"/>
          <w:sz w:val="24"/>
          <w:szCs w:val="24"/>
        </w:rPr>
        <w:t>go oryginału faktury VAT wraz z </w:t>
      </w:r>
      <w:r w:rsidRPr="007A3FE6">
        <w:rPr>
          <w:rStyle w:val="FontStyle18"/>
          <w:sz w:val="24"/>
          <w:szCs w:val="24"/>
        </w:rPr>
        <w:t>oryginałem Raportu z realizacji usług podpisanym bez zastrzeżeń przez upoważnionych przedstawicieli Stron.</w:t>
      </w:r>
    </w:p>
    <w:p w14:paraId="1F578C7E" w14:textId="77777777"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 dzień płatności przyjmuje się dzień obciążenia rachunku bankowego Zamawiającego należną Wykonawcy kwotą.</w:t>
      </w:r>
    </w:p>
    <w:p w14:paraId="7CB57392" w14:textId="77777777"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Zamawiający nie wyraża zgody na cesję wierzytelności wynikających z umowy.</w:t>
      </w:r>
    </w:p>
    <w:p w14:paraId="581F91E9" w14:textId="77777777"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 xml:space="preserve">Wynagrodzenie Wykonawcy zawiera wszelkie koszty związane z realizacją przedmiotu Umowy, w tym wszelkie opłaty i podatki. </w:t>
      </w:r>
    </w:p>
    <w:p w14:paraId="4E2D8ACF" w14:textId="77777777" w:rsidR="00A46CC4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W przypadku świadczenia usług przez niepełny miesiąc, Wykonawca otrzyma wynagrodzenie proporcjonalne do liczby dni kalendarzowych, w których świadczył Usługi.</w:t>
      </w:r>
    </w:p>
    <w:p w14:paraId="44330802" w14:textId="77777777" w:rsidR="00A46CC4" w:rsidRPr="00A46CC4" w:rsidRDefault="00A46CC4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6CC4">
        <w:rPr>
          <w:rFonts w:ascii="Times New Roman" w:hAnsi="Times New Roman"/>
          <w:sz w:val="24"/>
          <w:szCs w:val="24"/>
        </w:rPr>
        <w:t xml:space="preserve">Wykonawca zobowiązany jest zamieścić na fakturze adnotację „mechanizm podzielonej płatności”, jeżeli dokumentuje ona czynność podlegającą temu mechanizmowi. </w:t>
      </w:r>
    </w:p>
    <w:p w14:paraId="74C70246" w14:textId="77777777" w:rsidR="00A46CC4" w:rsidRDefault="00A46CC4" w:rsidP="00A46CC4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i/>
          <w:color w:val="000000"/>
          <w:sz w:val="24"/>
          <w:szCs w:val="24"/>
        </w:rPr>
      </w:pPr>
      <w:r w:rsidRPr="00A46CC4">
        <w:rPr>
          <w:rFonts w:ascii="Times New Roman" w:hAnsi="Times New Roman"/>
          <w:i/>
          <w:color w:val="000000"/>
          <w:sz w:val="24"/>
          <w:szCs w:val="24"/>
        </w:rPr>
        <w:t>(dotyczy przypadku gdy Wykonawca będzie korzystał z przesyłania faktur VAT za pośrednictwem poczty elektronicznej)</w:t>
      </w:r>
    </w:p>
    <w:p w14:paraId="11AF378F" w14:textId="53461FE7" w:rsidR="003B0848" w:rsidRPr="00D66462" w:rsidRDefault="00A46CC4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46CC4">
        <w:rPr>
          <w:rFonts w:ascii="Times New Roman" w:hAnsi="Times New Roman"/>
          <w:color w:val="000000"/>
          <w:sz w:val="24"/>
          <w:szCs w:val="24"/>
        </w:rPr>
        <w:t xml:space="preserve">Zamawiający oświadcza, że zgodnie z przepisami ustawy z  dnia 11 marca 2004 r. </w:t>
      </w:r>
      <w:r w:rsidR="00CC0FA5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2F5023" w:rsidRPr="002F5023">
        <w:rPr>
          <w:rFonts w:ascii="Times New Roman" w:hAnsi="Times New Roman"/>
          <w:color w:val="000000"/>
          <w:sz w:val="24"/>
          <w:szCs w:val="24"/>
        </w:rPr>
        <w:t>o</w:t>
      </w:r>
      <w:r w:rsidRPr="002F5023">
        <w:rPr>
          <w:rFonts w:ascii="Times New Roman" w:hAnsi="Times New Roman"/>
          <w:color w:val="000000"/>
          <w:sz w:val="24"/>
          <w:szCs w:val="24"/>
        </w:rPr>
        <w:t xml:space="preserve"> podatku od towarów i usług</w:t>
      </w:r>
      <w:r w:rsidRPr="001E07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3CBC">
        <w:rPr>
          <w:rFonts w:ascii="Times New Roman" w:eastAsia="Batang" w:hAnsi="Times New Roman"/>
          <w:color w:val="000000"/>
        </w:rPr>
        <w:t>(</w:t>
      </w:r>
      <w:r w:rsidR="00C5107A">
        <w:rPr>
          <w:rFonts w:ascii="Times New Roman" w:hAnsi="Times New Roman"/>
          <w:sz w:val="24"/>
          <w:szCs w:val="24"/>
        </w:rPr>
        <w:t>t</w:t>
      </w:r>
      <w:r w:rsidR="00B23CBC" w:rsidRPr="00B23CBC">
        <w:rPr>
          <w:rFonts w:ascii="Times New Roman" w:hAnsi="Times New Roman"/>
          <w:sz w:val="24"/>
          <w:szCs w:val="24"/>
        </w:rPr>
        <w:t>j. Dz.U. z 2022 r. poz. 931</w:t>
      </w:r>
      <w:r w:rsidR="001E0704" w:rsidRPr="001E0704">
        <w:rPr>
          <w:rFonts w:ascii="Times New Roman" w:eastAsia="Batang" w:hAnsi="Times New Roman"/>
          <w:color w:val="000000"/>
        </w:rPr>
        <w:t>)</w:t>
      </w:r>
      <w:r w:rsidRPr="001E0704">
        <w:rPr>
          <w:rFonts w:ascii="Times New Roman" w:hAnsi="Times New Roman"/>
          <w:color w:val="000000"/>
          <w:sz w:val="24"/>
          <w:szCs w:val="24"/>
        </w:rPr>
        <w:t>,</w:t>
      </w:r>
      <w:r w:rsidRPr="002F5023">
        <w:rPr>
          <w:rFonts w:ascii="Times New Roman" w:hAnsi="Times New Roman"/>
          <w:color w:val="000000"/>
          <w:sz w:val="24"/>
          <w:szCs w:val="24"/>
        </w:rPr>
        <w:t xml:space="preserve"> wyraża zgodę na wystawienie przez Wykonawcę faktury VAT, korekt faktury VAT oraz ich duplikatów w formie elektronicznej (w formacie PDF) i przesyłanie ich za pośrednictwem poczty elektronicznej na adres: bf@krus.gov.pl. Wykonawca oświadcza, że adresem z którego będą wysyłane faktur</w:t>
      </w:r>
      <w:r w:rsidR="001B2A30">
        <w:rPr>
          <w:rFonts w:ascii="Times New Roman" w:hAnsi="Times New Roman"/>
          <w:color w:val="000000"/>
          <w:sz w:val="24"/>
          <w:szCs w:val="24"/>
        </w:rPr>
        <w:t>y</w:t>
      </w:r>
      <w:r w:rsidRPr="002F5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5023">
        <w:rPr>
          <w:rFonts w:ascii="Times New Roman" w:hAnsi="Times New Roman"/>
          <w:color w:val="000000"/>
          <w:sz w:val="24"/>
          <w:szCs w:val="24"/>
        </w:rPr>
        <w:lastRenderedPageBreak/>
        <w:t xml:space="preserve">VAT, korekty faktury VAT oraz ich duplikaty, jest następujący </w:t>
      </w:r>
      <w:r w:rsidR="00F9115B">
        <w:rPr>
          <w:rFonts w:ascii="Times New Roman" w:hAnsi="Times New Roman"/>
          <w:color w:val="000000"/>
          <w:sz w:val="24"/>
          <w:szCs w:val="24"/>
        </w:rPr>
        <w:t xml:space="preserve">adres: </w:t>
      </w:r>
      <w:r w:rsidR="001E0704" w:rsidRPr="00500717">
        <w:rPr>
          <w:rFonts w:ascii="Times New Roman" w:hAnsi="Times New Roman"/>
          <w:color w:val="000000"/>
          <w:sz w:val="24"/>
          <w:szCs w:val="24"/>
          <w:highlight w:val="yellow"/>
        </w:rPr>
        <w:t>….......................</w:t>
      </w:r>
      <w:r w:rsidR="00CC0FA5" w:rsidRPr="00500717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</w:p>
    <w:p w14:paraId="09F333CE" w14:textId="77777777" w:rsidR="00761FD5" w:rsidRDefault="00761FD5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172AEB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8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Prawa autorskie</w:t>
      </w:r>
    </w:p>
    <w:p w14:paraId="5DD66557" w14:textId="6D0CCCE8" w:rsidR="00F10A0F" w:rsidRPr="007A3FE6" w:rsidRDefault="00F10A0F" w:rsidP="001E0704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W </w:t>
      </w:r>
      <w:r w:rsidRPr="001C37ED">
        <w:rPr>
          <w:rFonts w:ascii="Times New Roman" w:hAnsi="Times New Roman"/>
          <w:sz w:val="24"/>
          <w:szCs w:val="24"/>
        </w:rPr>
        <w:t>ramach usług świadczonych przez Wykonawcę nie będą powstawać utwory</w:t>
      </w:r>
      <w:r w:rsidR="00C00B27" w:rsidRPr="001C37ED">
        <w:rPr>
          <w:rFonts w:ascii="Times New Roman" w:hAnsi="Times New Roman"/>
          <w:sz w:val="24"/>
          <w:szCs w:val="24"/>
        </w:rPr>
        <w:t xml:space="preserve">                   </w:t>
      </w:r>
      <w:r w:rsidRPr="001C37ED">
        <w:rPr>
          <w:rFonts w:ascii="Times New Roman" w:hAnsi="Times New Roman"/>
          <w:sz w:val="24"/>
          <w:szCs w:val="24"/>
        </w:rPr>
        <w:t xml:space="preserve"> w rozumieniu art. 1 u</w:t>
      </w:r>
      <w:r w:rsidRPr="00E03A35">
        <w:rPr>
          <w:rFonts w:ascii="Times New Roman" w:hAnsi="Times New Roman"/>
          <w:sz w:val="24"/>
          <w:szCs w:val="24"/>
        </w:rPr>
        <w:t>stawy z dnia 4 lutego 1994r. o prawie autorskim i prawach pokrewnych (</w:t>
      </w:r>
      <w:r w:rsidR="00C5107A">
        <w:rPr>
          <w:rFonts w:ascii="Times New Roman" w:hAnsi="Times New Roman"/>
          <w:sz w:val="24"/>
          <w:szCs w:val="24"/>
        </w:rPr>
        <w:t>tj. </w:t>
      </w:r>
      <w:r w:rsidR="00E03A35" w:rsidRPr="00E03A35">
        <w:rPr>
          <w:rFonts w:ascii="Times New Roman" w:hAnsi="Times New Roman"/>
          <w:sz w:val="24"/>
          <w:szCs w:val="24"/>
        </w:rPr>
        <w:t>Dz.U. z 2022 r. poz. 2509</w:t>
      </w:r>
      <w:r w:rsidRPr="001C37ED">
        <w:rPr>
          <w:rFonts w:ascii="Times New Roman" w:hAnsi="Times New Roman"/>
          <w:sz w:val="24"/>
          <w:szCs w:val="24"/>
        </w:rPr>
        <w:t>).</w:t>
      </w:r>
    </w:p>
    <w:p w14:paraId="04FAB0FF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64D9D1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9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Poufność i ochrona danych osobowych</w:t>
      </w:r>
    </w:p>
    <w:p w14:paraId="5804DCB9" w14:textId="77777777" w:rsidR="00F10A0F" w:rsidRPr="007A3FE6" w:rsidRDefault="00F10A0F" w:rsidP="005329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zobowiązuje się do zachowania w tajemnicy wszelkich informacji, które zostały udostępnione przez Zamawiającego w związku z wykonywaniem Umowy i nie ujawniania ich osobom trzecim bez pisemnej zgody Zamawiającego.</w:t>
      </w:r>
    </w:p>
    <w:p w14:paraId="4D948F15" w14:textId="77777777" w:rsidR="00F10A0F" w:rsidRPr="007A3FE6" w:rsidRDefault="00F10A0F" w:rsidP="005329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zobowiązuje się uzyskać od osób/podmiotów biorących udział w realizacji przedmiotu Umowy, przed dopuszczeniem ich do pracy przy realizacji Umowy, pisemne zobowiązania o zachowaniu w tajemnicy wszelkich informacji Zamawiającego, o których mowa w ust. 1</w:t>
      </w:r>
      <w:r w:rsidR="00BD6FA2">
        <w:rPr>
          <w:rFonts w:ascii="Times New Roman" w:hAnsi="Times New Roman"/>
          <w:sz w:val="24"/>
          <w:szCs w:val="24"/>
        </w:rPr>
        <w:t xml:space="preserve"> oraz w Załączniku nr 4 niniejszej Umowy</w:t>
      </w:r>
      <w:r w:rsidRPr="007A3FE6">
        <w:rPr>
          <w:rFonts w:ascii="Times New Roman" w:hAnsi="Times New Roman"/>
          <w:sz w:val="24"/>
          <w:szCs w:val="24"/>
        </w:rPr>
        <w:t xml:space="preserve">, w zakresie zachowania </w:t>
      </w:r>
      <w:r w:rsidR="00BD6FA2">
        <w:rPr>
          <w:rFonts w:ascii="Times New Roman" w:hAnsi="Times New Roman"/>
          <w:sz w:val="24"/>
          <w:szCs w:val="24"/>
        </w:rPr>
        <w:t xml:space="preserve">                  </w:t>
      </w:r>
      <w:r w:rsidRPr="007A3FE6">
        <w:rPr>
          <w:rFonts w:ascii="Times New Roman" w:hAnsi="Times New Roman"/>
          <w:sz w:val="24"/>
          <w:szCs w:val="24"/>
        </w:rPr>
        <w:t>w tajemnicy tych danych oraz sposobu ich zabezpieczenia.</w:t>
      </w:r>
    </w:p>
    <w:p w14:paraId="5741E55B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08ADE7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10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Kary umowne</w:t>
      </w:r>
    </w:p>
    <w:p w14:paraId="66042239" w14:textId="77777777"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Wykonawca zapłaci Zamawiającemu karę w następujących przypadkach:</w:t>
      </w:r>
    </w:p>
    <w:p w14:paraId="47A1E476" w14:textId="77777777" w:rsidR="00F10A0F" w:rsidRPr="000B4B69" w:rsidRDefault="00F10A0F" w:rsidP="0053291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52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 przypadku wystąpienia z winy Wykonawcy przerwy w działaniu Systemu powyżej 8 godzin (suma wszystkich niedostępności) w miesiącu kalendarzowym, Wykonawca zapłaci Zamawiającemu karę w wysokości 1% wynagr</w:t>
      </w:r>
      <w:r w:rsidR="0053291C">
        <w:rPr>
          <w:rFonts w:ascii="Times New Roman" w:eastAsia="Times New Roman" w:hAnsi="Times New Roman"/>
          <w:sz w:val="24"/>
          <w:szCs w:val="24"/>
        </w:rPr>
        <w:t>odzenia miesięcznego, o </w:t>
      </w:r>
      <w:r w:rsidRPr="000B4B69">
        <w:rPr>
          <w:rFonts w:ascii="Times New Roman" w:eastAsia="Times New Roman" w:hAnsi="Times New Roman"/>
          <w:sz w:val="24"/>
          <w:szCs w:val="24"/>
        </w:rPr>
        <w:t>którym mowa w §</w:t>
      </w:r>
      <w:r w:rsidR="00D664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4B69">
        <w:rPr>
          <w:rFonts w:ascii="Times New Roman" w:eastAsia="Times New Roman" w:hAnsi="Times New Roman"/>
          <w:sz w:val="24"/>
          <w:szCs w:val="24"/>
        </w:rPr>
        <w:t>7 ust. 2 Umowy, za każdą dodatkową rozpoczętą godzinę niedostępności Systemu.</w:t>
      </w:r>
    </w:p>
    <w:p w14:paraId="28C65118" w14:textId="77777777" w:rsidR="00F10A0F" w:rsidRPr="000B4B69" w:rsidRDefault="00F10A0F" w:rsidP="0053291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52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 przypadku wystąpienia z winy Wykonawcy jednorazowej przerwy w działaniu Systemu powyżej 4 godzin, Wykonawca zapłaci Zamawiającemu karę</w:t>
      </w:r>
      <w:r w:rsidR="005329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4B69">
        <w:rPr>
          <w:rFonts w:ascii="Times New Roman" w:eastAsia="Times New Roman" w:hAnsi="Times New Roman"/>
          <w:sz w:val="24"/>
          <w:szCs w:val="24"/>
        </w:rPr>
        <w:t xml:space="preserve">w wysokości 1% wynagrodzenia </w:t>
      </w:r>
      <w:r w:rsidR="00D66462">
        <w:rPr>
          <w:rFonts w:ascii="Times New Roman" w:eastAsia="Times New Roman" w:hAnsi="Times New Roman"/>
          <w:sz w:val="24"/>
          <w:szCs w:val="24"/>
        </w:rPr>
        <w:t xml:space="preserve">miesięcznego, o którym mowa w § </w:t>
      </w:r>
      <w:r w:rsidRPr="000B4B69">
        <w:rPr>
          <w:rFonts w:ascii="Times New Roman" w:eastAsia="Times New Roman" w:hAnsi="Times New Roman"/>
          <w:sz w:val="24"/>
          <w:szCs w:val="24"/>
        </w:rPr>
        <w:t>7 ust. 2 Umowy, za każdą dodatkową rozpoczętą godzinę przerwy w działaniu Systemu.</w:t>
      </w:r>
    </w:p>
    <w:p w14:paraId="5B21D178" w14:textId="77777777"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Kary z ust. 1 lit. a) i b) nie sumują się.</w:t>
      </w:r>
    </w:p>
    <w:p w14:paraId="3B6DDAEF" w14:textId="77777777"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Wykonawca zapłaci Zamawiającemu karę w wysokości 10% wynagrodzenia całkowitego określonego w § 7 ust. 1 Umowy, w przypadku odstąpienia od Umowy z przyczyn leżących po stronie Wykonawcy.</w:t>
      </w:r>
    </w:p>
    <w:p w14:paraId="0074E3B6" w14:textId="77777777"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Strony uzgadniają, że maksymalny wymiar kar nie przekroczy 20% całkowitego wynagrod</w:t>
      </w:r>
      <w:r w:rsidR="00275315">
        <w:rPr>
          <w:rFonts w:ascii="Times New Roman" w:eastAsia="Times New Roman" w:hAnsi="Times New Roman"/>
          <w:sz w:val="24"/>
          <w:szCs w:val="24"/>
        </w:rPr>
        <w:t>zenia, określonego w § 7 ust. 1 niniejszej Umowy.</w:t>
      </w:r>
    </w:p>
    <w:p w14:paraId="1F506B46" w14:textId="77777777"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 xml:space="preserve">Wykonawca wyraża zgodę na potrącenia kar umownych z przysługującego mu wynagrodzenia za wykonanie umowy. </w:t>
      </w:r>
    </w:p>
    <w:p w14:paraId="6B303212" w14:textId="77777777" w:rsidR="00A25639" w:rsidRPr="000B4B69" w:rsidRDefault="00A25639" w:rsidP="00D66462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BB22AD" w14:textId="77777777" w:rsidR="00F66A9E" w:rsidRDefault="00F66A9E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A2BAEB" w14:textId="77777777" w:rsidR="00F66A9E" w:rsidRDefault="00F66A9E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65D083" w14:textId="77777777" w:rsidR="004F77BD" w:rsidRDefault="004F77BD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FDD97C" w14:textId="2A02D9AF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 11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Rozwiązanie Umowy</w:t>
      </w:r>
    </w:p>
    <w:p w14:paraId="4F8D2C5C" w14:textId="612F5596" w:rsidR="006C5B64" w:rsidRPr="00FF3132" w:rsidRDefault="006C5B64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Zamawiający może odstąpić od Umowy w terminie 30 dni kalendarzowych od powzięcia wiadomości o wystąpieniu istotnej zmiany okoliczności powodującej, że wykonanie Umowy nie leży w interesie publicznym, czego nie można było przewi</w:t>
      </w:r>
      <w:r w:rsidR="00761FD5">
        <w:rPr>
          <w:rFonts w:ascii="Times New Roman" w:eastAsia="Times New Roman" w:hAnsi="Times New Roman"/>
          <w:sz w:val="24"/>
          <w:szCs w:val="24"/>
        </w:rPr>
        <w:t xml:space="preserve">dzieć w chwili zawarcia Umowy. </w:t>
      </w:r>
      <w:r w:rsidRPr="00FF3132">
        <w:rPr>
          <w:rFonts w:ascii="Times New Roman" w:eastAsia="Times New Roman" w:hAnsi="Times New Roman"/>
          <w:sz w:val="24"/>
          <w:szCs w:val="24"/>
        </w:rPr>
        <w:t>W takim przypadku Wykonawcy przysługuje wynagrodzenie należne</w:t>
      </w:r>
      <w:r w:rsidR="00761F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3132">
        <w:rPr>
          <w:rFonts w:ascii="Times New Roman" w:eastAsia="Times New Roman" w:hAnsi="Times New Roman"/>
          <w:sz w:val="24"/>
          <w:szCs w:val="24"/>
        </w:rPr>
        <w:t>z tytułu wykonania części Umowy.</w:t>
      </w:r>
    </w:p>
    <w:p w14:paraId="75EB95BE" w14:textId="77777777" w:rsidR="006C5B64" w:rsidRPr="00FF3132" w:rsidRDefault="006C5B64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Zamawiający może wypowiedzieć Umowę z 30 dniowym terminem wypowiedzenia</w:t>
      </w:r>
      <w:r w:rsidR="00275315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z przyczyn leżących po stronie Wykonawcy, dotyczących nienależytego wykonania Umowy. </w:t>
      </w:r>
      <w:r w:rsidRPr="00FF3132">
        <w:rPr>
          <w:rFonts w:ascii="Times New Roman" w:eastAsia="Times New Roman" w:hAnsi="Times New Roman"/>
          <w:sz w:val="24"/>
          <w:szCs w:val="24"/>
        </w:rPr>
        <w:br/>
        <w:t>Za nienależyte wykonanie  Umowy traktowane będzie w szczególności:</w:t>
      </w:r>
    </w:p>
    <w:p w14:paraId="69DC8F6F" w14:textId="77777777"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rażące naruszenie postanowień Umowy w zakresie świadczenia usługi administrowania Systemem, a w szczególności: brak zapewnienia prawidłowego funkcjonowania infrastruktury technicznej i Systemowej, zgodnej z dokumentacją </w:t>
      </w:r>
      <w:r w:rsidRPr="00FF3132">
        <w:rPr>
          <w:rFonts w:ascii="Times New Roman" w:eastAsia="Times New Roman" w:hAnsi="Times New Roman"/>
          <w:sz w:val="24"/>
          <w:szCs w:val="24"/>
        </w:rPr>
        <w:t>techniczną Systemu, w tym również brak przywracania prawidłowego działania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 infrastruktury po awarii oraz brak jej rozbudowy i aktualizacji,</w:t>
      </w:r>
    </w:p>
    <w:p w14:paraId="4D778771" w14:textId="77777777"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>naruszenie przepisów powszechnie obowiązujących pozostających w związku</w:t>
      </w:r>
      <w:r w:rsidR="00275315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 z realizacją Umowy, a w szczególności przepisów dotyczących ochrony danych osobowych,</w:t>
      </w:r>
    </w:p>
    <w:p w14:paraId="7D93C606" w14:textId="77777777"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trzykrotne wystąpienie sytuacji </w:t>
      </w:r>
      <w:r w:rsidRPr="00FF3132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jednorazowej przerwy w działaniu Systemu, powyżej 4 godzin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920DB6D" w14:textId="77777777" w:rsidR="006C5B64" w:rsidRPr="00FF3132" w:rsidRDefault="006C5B64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Zamawiający może odstąpić od Umowy </w:t>
      </w:r>
      <w:r w:rsidR="00D53C48">
        <w:rPr>
          <w:rFonts w:ascii="Times New Roman" w:eastAsia="Times New Roman" w:hAnsi="Times New Roman"/>
          <w:sz w:val="24"/>
          <w:szCs w:val="24"/>
        </w:rPr>
        <w:t xml:space="preserve">w związku z </w:t>
      </w:r>
      <w:r w:rsidRPr="00FF3132">
        <w:rPr>
          <w:rFonts w:ascii="Times New Roman" w:eastAsia="Times New Roman" w:hAnsi="Times New Roman"/>
          <w:sz w:val="24"/>
          <w:szCs w:val="24"/>
        </w:rPr>
        <w:t>powzięci</w:t>
      </w:r>
      <w:r w:rsidR="00D53C48">
        <w:rPr>
          <w:rFonts w:ascii="Times New Roman" w:eastAsia="Times New Roman" w:hAnsi="Times New Roman"/>
          <w:sz w:val="24"/>
          <w:szCs w:val="24"/>
        </w:rPr>
        <w:t>em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informacji o zaistnieniu następujących sytuacji: </w:t>
      </w:r>
    </w:p>
    <w:p w14:paraId="6C8EB930" w14:textId="77777777" w:rsidR="006C5B64" w:rsidRPr="00FF3132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F3132">
        <w:rPr>
          <w:rFonts w:ascii="Times New Roman" w:eastAsia="Times New Roman" w:hAnsi="Times New Roman"/>
          <w:color w:val="000000"/>
          <w:sz w:val="24"/>
          <w:szCs w:val="24"/>
        </w:rPr>
        <w:t>wydani</w:t>
      </w:r>
      <w:r w:rsidR="00D53C48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F3132">
        <w:rPr>
          <w:rFonts w:ascii="Times New Roman" w:eastAsia="Times New Roman" w:hAnsi="Times New Roman"/>
          <w:color w:val="000000"/>
          <w:sz w:val="24"/>
          <w:szCs w:val="24"/>
        </w:rPr>
        <w:t xml:space="preserve"> nakazu zajęcia majątku Wykonawcy,</w:t>
      </w:r>
    </w:p>
    <w:p w14:paraId="3A63696A" w14:textId="33099CED" w:rsidR="006C5B64" w:rsidRPr="00FF3132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przerw</w:t>
      </w:r>
      <w:r w:rsidR="00D53C48">
        <w:rPr>
          <w:rFonts w:ascii="Times New Roman" w:eastAsia="Times New Roman" w:hAnsi="Times New Roman"/>
          <w:sz w:val="24"/>
          <w:szCs w:val="24"/>
        </w:rPr>
        <w:t>a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w realizacji p</w:t>
      </w:r>
      <w:r w:rsidR="00190BE5">
        <w:rPr>
          <w:rFonts w:ascii="Times New Roman" w:eastAsia="Times New Roman" w:hAnsi="Times New Roman"/>
          <w:sz w:val="24"/>
          <w:szCs w:val="24"/>
        </w:rPr>
        <w:t>rzedmiotu Umowy trwająca dłużej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niż 3 dni kalendarzowe, </w:t>
      </w:r>
    </w:p>
    <w:p w14:paraId="12CFCE78" w14:textId="77777777" w:rsidR="00D53C48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nie zawarcie umowy o powierzeniu przetwarzania danych osobowych lub jej nienależyte wykonanie, </w:t>
      </w:r>
    </w:p>
    <w:p w14:paraId="49308598" w14:textId="77777777" w:rsidR="0085645F" w:rsidRPr="0085645F" w:rsidRDefault="00D53C48" w:rsidP="007B0732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5B64" w:rsidRPr="00FF3132">
        <w:rPr>
          <w:rFonts w:ascii="Times New Roman" w:eastAsia="Times New Roman" w:hAnsi="Times New Roman"/>
          <w:sz w:val="24"/>
          <w:szCs w:val="24"/>
        </w:rPr>
        <w:t xml:space="preserve"> oświadczenie o odstąpieniu może zostać złożone w terminie 30 dni od powzięcia wiadomo</w:t>
      </w:r>
      <w:r w:rsidR="0085645F">
        <w:rPr>
          <w:rFonts w:ascii="Times New Roman" w:eastAsia="Times New Roman" w:hAnsi="Times New Roman"/>
          <w:sz w:val="24"/>
          <w:szCs w:val="24"/>
        </w:rPr>
        <w:t xml:space="preserve">ści o przyczynie </w:t>
      </w:r>
      <w:r w:rsidR="001B2A30">
        <w:rPr>
          <w:rFonts w:ascii="Times New Roman" w:eastAsia="Times New Roman" w:hAnsi="Times New Roman"/>
          <w:sz w:val="24"/>
          <w:szCs w:val="24"/>
        </w:rPr>
        <w:t>odstąpienia</w:t>
      </w:r>
      <w:r w:rsidR="0085645F">
        <w:rPr>
          <w:rFonts w:ascii="Times New Roman" w:eastAsia="Times New Roman" w:hAnsi="Times New Roman"/>
          <w:sz w:val="24"/>
          <w:szCs w:val="24"/>
        </w:rPr>
        <w:t>.</w:t>
      </w:r>
    </w:p>
    <w:p w14:paraId="6581F44E" w14:textId="77777777" w:rsidR="0085645F" w:rsidRDefault="0085645F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Zamawiającemu przysługuje prawo rozwiązania Umowy bez podania przyczyn             z zachowaniem miesięcznego okresu wypowiedzenia ze skutkiem na koniec miesiąca. Wykonawcy, w takim przypadku, przysługuje wynagrodzenie za prace faktycznie wykonane i odebrane przez Zamawiającego w okresie obowiązywania Umowy.</w:t>
      </w:r>
    </w:p>
    <w:p w14:paraId="4586373E" w14:textId="77777777" w:rsidR="006C5B64" w:rsidRPr="00FF3132" w:rsidRDefault="006C5B64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W terminie do 14 dni kalendarzowych od daty rozwiązania Umowy na skutek odstąpienia od Umowy lub wypowiedzenia, Wykonawca przy udziale Zamawiającego sporządzi szczegółowy protokół inwentaryzacji prac w toku, według stanu na dzień rozwiązania Umowy oraz zabezpieczy przerwane prace. W przypadku braku udziału Wykonawcy, Zamawiający dokona inwentaryzacji samodzielnie.</w:t>
      </w:r>
    </w:p>
    <w:p w14:paraId="4902165F" w14:textId="77777777" w:rsidR="006C5B64" w:rsidRPr="00FF3132" w:rsidRDefault="006C5B64" w:rsidP="00E03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W przypadku rozwiązania Umowy na skutek odstąpienia od Umowy lub wypowiedzenia, Strony dokonają odbioru wykonanego </w:t>
      </w:r>
      <w:r w:rsidRPr="000B4B69">
        <w:rPr>
          <w:rFonts w:ascii="Times New Roman" w:hAnsi="Times New Roman"/>
          <w:sz w:val="24"/>
          <w:szCs w:val="24"/>
        </w:rPr>
        <w:t>przedmiotu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Umowy oraz rozliczenia za prace, które zostały należycie wykonane do dnia rozwiązania Umowy. </w:t>
      </w:r>
    </w:p>
    <w:p w14:paraId="702113F9" w14:textId="77777777" w:rsidR="007A3FE6" w:rsidRPr="007A3FE6" w:rsidRDefault="007A3FE6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6DCC90" w14:textId="77777777" w:rsidR="00F66A9E" w:rsidRDefault="00F66A9E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083304" w14:textId="2CE9D3C4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 12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Postanowienia końcowe</w:t>
      </w:r>
    </w:p>
    <w:p w14:paraId="1599E82A" w14:textId="77777777" w:rsidR="00F10A0F" w:rsidRPr="007A3FE6" w:rsidRDefault="00F10A0F" w:rsidP="00E03A35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 sprawach nieuregulowanych niniejszą Umową mają zastosowanie przepisy Kodeksu cywilnego.</w:t>
      </w:r>
    </w:p>
    <w:p w14:paraId="4C6C4037" w14:textId="77777777" w:rsidR="00F10A0F" w:rsidRPr="007A3FE6" w:rsidRDefault="00F10A0F" w:rsidP="00E03A35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 w celu zakończenia sporu, spór taki Strony poddają rozstrzygnięciu Sądowi powszechnemu miejscowo właściwemu dla siedziby Zamawiającego.</w:t>
      </w:r>
    </w:p>
    <w:p w14:paraId="6FE85738" w14:textId="77777777" w:rsidR="00F10A0F" w:rsidRPr="007A3FE6" w:rsidRDefault="00F10A0F" w:rsidP="00E03A35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Wszelkie zmiany niniejszej Umowy mogą być dokonane tylko w formie pisemnej pod rygorem nieważności.</w:t>
      </w:r>
    </w:p>
    <w:p w14:paraId="3F66E5FF" w14:textId="77777777" w:rsidR="00F10A0F" w:rsidRPr="007A3FE6" w:rsidRDefault="00F10A0F" w:rsidP="00E03A35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69923BC7" w14:textId="77777777" w:rsidR="00F10A0F" w:rsidRPr="007A3FE6" w:rsidRDefault="00F10A0F" w:rsidP="00E03A35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Integralną częścią Umowy są niżej wymienione załączniki:</w:t>
      </w:r>
    </w:p>
    <w:p w14:paraId="2A0C40D3" w14:textId="77777777" w:rsidR="00F10A0F" w:rsidRPr="007A3FE6" w:rsidRDefault="00F10A0F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Załącznik nr 1 – Szczegółowy opis przedmiotu Umowy,</w:t>
      </w:r>
    </w:p>
    <w:p w14:paraId="331F97F9" w14:textId="77777777" w:rsidR="00F10A0F" w:rsidRPr="007A3FE6" w:rsidRDefault="00F10A0F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Załącznik nr 2 – Opis Systemu,</w:t>
      </w:r>
    </w:p>
    <w:p w14:paraId="5E160392" w14:textId="77777777" w:rsidR="00F10A0F" w:rsidRDefault="0020002B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  <w:r w:rsidR="00F10A0F" w:rsidRPr="007A3FE6">
        <w:rPr>
          <w:rFonts w:ascii="Times New Roman" w:hAnsi="Times New Roman"/>
          <w:sz w:val="24"/>
          <w:szCs w:val="24"/>
        </w:rPr>
        <w:t xml:space="preserve"> – </w:t>
      </w:r>
      <w:r w:rsidR="007E6541">
        <w:rPr>
          <w:rFonts w:ascii="Times New Roman" w:hAnsi="Times New Roman"/>
          <w:sz w:val="24"/>
          <w:szCs w:val="24"/>
        </w:rPr>
        <w:t>Raport z realizacji u</w:t>
      </w:r>
      <w:r w:rsidR="00BD6FA2">
        <w:rPr>
          <w:rFonts w:ascii="Times New Roman" w:hAnsi="Times New Roman"/>
          <w:sz w:val="24"/>
          <w:szCs w:val="24"/>
        </w:rPr>
        <w:t>sług,</w:t>
      </w:r>
    </w:p>
    <w:p w14:paraId="0D93E942" w14:textId="77777777" w:rsidR="00BD6FA2" w:rsidRPr="007A3FE6" w:rsidRDefault="00BD6FA2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Oświadczenie o zachowaniu poufności.</w:t>
      </w:r>
    </w:p>
    <w:p w14:paraId="7E684E0F" w14:textId="77777777"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287816D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37CDC56" w14:textId="77777777"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81D8965" w14:textId="77777777" w:rsidR="00C7210C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02C8A02" w14:textId="77777777" w:rsidR="000047CF" w:rsidRDefault="000047C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7B74FE8" w14:textId="77777777" w:rsidR="000047CF" w:rsidRPr="007A3FE6" w:rsidRDefault="000047C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E8167C0" w14:textId="77777777" w:rsidR="00F10A0F" w:rsidRDefault="00F10A0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A3FE6">
        <w:rPr>
          <w:rFonts w:ascii="Times New Roman" w:hAnsi="Times New Roman"/>
          <w:b/>
          <w:sz w:val="24"/>
          <w:szCs w:val="24"/>
        </w:rPr>
        <w:t xml:space="preserve">Zamawiający </w:t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  <w:t>Wykonawc</w:t>
      </w:r>
      <w:r w:rsidRPr="00C7210C">
        <w:rPr>
          <w:rFonts w:ascii="Times New Roman" w:hAnsi="Times New Roman"/>
          <w:b/>
          <w:sz w:val="24"/>
          <w:szCs w:val="24"/>
        </w:rPr>
        <w:t>a</w:t>
      </w:r>
    </w:p>
    <w:p w14:paraId="5575FCF3" w14:textId="77777777"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A75EC11" w14:textId="77777777"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6D1D30E" w14:textId="39BD3F20" w:rsidR="001A5CB0" w:rsidRPr="001A5CB0" w:rsidRDefault="00B23CBC" w:rsidP="00B23CBC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A5CB0" w:rsidRPr="001A5CB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Załącznik nr 1 </w:t>
      </w:r>
    </w:p>
    <w:p w14:paraId="2A9A8DF0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do Umowy nr ……….. </w:t>
      </w:r>
    </w:p>
    <w:p w14:paraId="0643FF77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z dn. ……………………. </w:t>
      </w:r>
    </w:p>
    <w:p w14:paraId="79AC3272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1844C9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Szczegółowy opis przedmiotu Umowy</w:t>
      </w:r>
    </w:p>
    <w:p w14:paraId="6413B925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3B2B062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A. Usługa administrowania Systemem</w:t>
      </w:r>
    </w:p>
    <w:p w14:paraId="592587AD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Usługa administrowania obejmuje prace o charakterze operacyjnym, zapewniające ciągłość działania Systemu oraz wykonywanie opisanych niżej czynności, zgodnie z określonymi 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>w niniejszym załączniku parametrami świadczenia usług (SLA). Wykonawca będzie realizował usługi w odniesieniu do środowiska produkcyjnego Systemu zarówno w podstawowym, jak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zapasowym ośrodku obliczeniowym Zamawiającego. </w:t>
      </w:r>
    </w:p>
    <w:p w14:paraId="0FD2DD27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W szczególności obowiązkiem Wykonawcy jest: </w:t>
      </w:r>
    </w:p>
    <w:p w14:paraId="277AEAD3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- zapewnienie prawidłowego funkcjonowania infrastruktury technicznej i systemowej Systemu, zgodnie z dokumentacją techniczną Systemu, w tym również przywracanie prawidłowego działania Systemu po awarii, </w:t>
      </w:r>
    </w:p>
    <w:p w14:paraId="318F6956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- administrowanie infrastrukturą techniczno-systemową oraz aplikacjami wchodzącymi w skład Systemu, w tym m.in.: aplikacje użytkowe (w tym elementy systemu działające na platformie IBM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FileNet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P8), systemy operacyjne, serwery aplikacji, bazy danych, oprogramowanie narzędziowe (replikacja, backupy, itp.), tj. wykonywanie wszelkich działań, powszechnie uznawanych za czynności realizowane w ramach zadań administrowania systemów informatycznych, zapewniających sprawne, wydajne, niezawodne i bezpieczne funkcjonowanie Systemu, </w:t>
      </w:r>
    </w:p>
    <w:p w14:paraId="65C8C30F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- współpraca z Zamawiającym w realizacji przez Zamawiającego procesu zarządzania incydentami i problemami, w zakresie weryfikacji i analizy zgłaszanych incydentów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problemów, bezpośrednio związanych z funkcjonowaniem Systemu, </w:t>
      </w:r>
    </w:p>
    <w:p w14:paraId="61F006D7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4351A0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1) Obsługa zgłoszeń</w:t>
      </w:r>
    </w:p>
    <w:p w14:paraId="419F5A11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Zgłoszenia serwisowe przedstawiciel Zamawiającego wskazany w Umowie  będzie zgłaszał pocztą elektroniczną na adres: </w:t>
      </w:r>
      <w:r w:rsidRPr="007209C4">
        <w:rPr>
          <w:rFonts w:ascii="Times New Roman" w:hAnsi="Times New Roman"/>
          <w:color w:val="000000"/>
          <w:sz w:val="24"/>
          <w:szCs w:val="24"/>
          <w:highlight w:val="yellow"/>
        </w:rPr>
        <w:t>…………..</w:t>
      </w:r>
    </w:p>
    <w:p w14:paraId="194F0A15" w14:textId="2DAE114F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Za moment zgłoszenia incydentu uznaje się datę i godzinę wysłania poczty elektronicznej. Jeśli zgłoszenie nastąpiło po godz. 16</w:t>
      </w:r>
      <w:r w:rsidR="00190BE5">
        <w:rPr>
          <w:rFonts w:ascii="Times New Roman" w:hAnsi="Times New Roman"/>
          <w:color w:val="000000"/>
          <w:sz w:val="24"/>
          <w:szCs w:val="24"/>
        </w:rPr>
        <w:t>.00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uznaje się, że zostało ono dokonane o godz. 9.00 następnego Dnia Roboczego. </w:t>
      </w:r>
    </w:p>
    <w:p w14:paraId="08427B2F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W ramach określonego w SLA czasu reakcji Wykonawca dokona wstępnej analizy przyczyn wystąpienia błędu lub awarii oraz określi szacunkowy czas usunięcia błędu lub awarii i zwrotnie przekaże te informacje Zamawiającemu. Wykonawca w ramach dokonywania wstępnej analizy przyczyn wystąpienia błędu lub awarii może żądać od Zamawiającego dostarczenia dodatkowych i</w:t>
      </w:r>
      <w:r w:rsidR="00F446B9">
        <w:rPr>
          <w:rFonts w:ascii="Times New Roman" w:hAnsi="Times New Roman"/>
          <w:color w:val="000000"/>
          <w:sz w:val="24"/>
          <w:szCs w:val="24"/>
        </w:rPr>
        <w:t>nformacji lub wyjaśnień, które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Zamawiający zobowiązany jest niezwłocznie dostarczyć. </w:t>
      </w:r>
    </w:p>
    <w:p w14:paraId="797C6C59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Obsługa Zgłoszenia polega na rozwiązaniu incydentu (usunięciu błędu / awarii) i przywróceniu poprawnego działania Systemu lub przekazaniu Zamawiającemu rozwiązania, jeśli jego </w:t>
      </w:r>
      <w:r w:rsidRPr="001A5CB0">
        <w:rPr>
          <w:rFonts w:ascii="Times New Roman" w:hAnsi="Times New Roman"/>
          <w:color w:val="000000"/>
          <w:sz w:val="24"/>
          <w:szCs w:val="24"/>
        </w:rPr>
        <w:lastRenderedPageBreak/>
        <w:t xml:space="preserve">zastosowanie będzie wymagało działań po stronie Zamawiającego lub innego podmiotu świadczącego usługi na rzecz Zamawiającego. </w:t>
      </w:r>
    </w:p>
    <w:p w14:paraId="35558DF7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340B7B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2) Ciągłość działania </w:t>
      </w:r>
    </w:p>
    <w:p w14:paraId="1DA943DB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Obowiązkiem Wykonawcy w ramach realizacji umowy jest zapewnienie ciągłości działania Systemu. W tym celu Wykonawca wykorzysta istniejące procedury i instrukcje operacyjne. Wykonawca w zakresie zapewnienia ciągłości działania wykorzystuje po</w:t>
      </w:r>
      <w:r w:rsidR="00F446B9">
        <w:rPr>
          <w:rFonts w:ascii="Times New Roman" w:hAnsi="Times New Roman"/>
          <w:color w:val="000000"/>
          <w:sz w:val="24"/>
          <w:szCs w:val="24"/>
        </w:rPr>
        <w:t>dstawowy (PDC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Primary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Data Center) oraz zapasowy (BDC – Backup Data Center) ośrodek obliczeniowy Zamawiającego. Działania Wykonawcy w zakresie utrzymania oraz realizacja procedur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instrukcji z obszaru zarządzania ciągłością działania muszą zapewnić sprawne przełączenie przetwarzania pomiędzy ośrodkami w sytuacji, gdy zapewnienie ciągłości działania Systemu będzie tego wymagało. </w:t>
      </w:r>
    </w:p>
    <w:p w14:paraId="019CD7B1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Wszelkie procedury awaryjne, w tym procedura przełączenia na infrastrukturę zapasową, powinny minimalizować czas ewentualnej niedostępności Systemu. J</w:t>
      </w:r>
      <w:r w:rsidR="007209C4">
        <w:rPr>
          <w:rFonts w:ascii="Times New Roman" w:hAnsi="Times New Roman"/>
          <w:color w:val="000000"/>
          <w:sz w:val="24"/>
          <w:szCs w:val="24"/>
        </w:rPr>
        <w:t>eżeli dany komponent Systemu, w 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wyniku realizacji procedury awaryjnej, mającej zapewnić ciągłość działania, będzie musiał zostać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zrekonfigurowany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w sposób mający wpływ na inne komponenty ZSI, Wykonawca obowiązany jest do niezwłocznego poinformowania Zamawiającego oraz podmiot odpowiedzialny za powiązany komponent ZSI, o potrzebie danej rekonfiguracji. </w:t>
      </w:r>
    </w:p>
    <w:p w14:paraId="790B5E70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32F748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B. Usługa konsultacji </w:t>
      </w:r>
    </w:p>
    <w:p w14:paraId="72456FA0" w14:textId="73933EC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1. Wykonawca świadczył będzie usługi kon</w:t>
      </w:r>
      <w:r w:rsidR="00D16270">
        <w:rPr>
          <w:rFonts w:ascii="Times New Roman" w:hAnsi="Times New Roman"/>
          <w:color w:val="000000"/>
          <w:sz w:val="24"/>
          <w:szCs w:val="24"/>
        </w:rPr>
        <w:t>sultacji w zakresie związanym z </w:t>
      </w:r>
      <w:r w:rsidRPr="001A5CB0">
        <w:rPr>
          <w:rFonts w:ascii="Times New Roman" w:hAnsi="Times New Roman"/>
          <w:color w:val="000000"/>
          <w:sz w:val="24"/>
          <w:szCs w:val="24"/>
        </w:rPr>
        <w:t>administrowaniem</w:t>
      </w:r>
      <w:r w:rsidR="001153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Systemu. </w:t>
      </w:r>
    </w:p>
    <w:p w14:paraId="6CD85199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2. Realizacja usług konsultacji odbywać się będzie w trybie zdalnym. </w:t>
      </w:r>
    </w:p>
    <w:p w14:paraId="41BF39D1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3. Konsultacje zdalne świadczone będą poprzez kontakt za pośrednictwem poczty elektronicznej pracownika Zamawiającego wskazanego w Umowie z Wykonawcą na adres: </w:t>
      </w:r>
      <w:r w:rsidRPr="007209C4">
        <w:rPr>
          <w:rFonts w:ascii="Times New Roman" w:hAnsi="Times New Roman"/>
          <w:color w:val="000000"/>
          <w:sz w:val="24"/>
          <w:szCs w:val="24"/>
          <w:highlight w:val="yellow"/>
        </w:rPr>
        <w:t>………..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 Konsultacje te są limitowane ilościowo – maksymalnie 5 konsultacji w miesiącu świadczenia usługi. Konsultacje te będą obsługiwane przez Wykonawcę w Dni robocze. </w:t>
      </w:r>
    </w:p>
    <w:p w14:paraId="6019DBAB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0D19AB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C. Parametry jakości świadczenia usług (SLA) </w:t>
      </w:r>
    </w:p>
    <w:p w14:paraId="209E9A34" w14:textId="77777777" w:rsidR="001A5CB0" w:rsidRPr="001A5CB0" w:rsidRDefault="001A5CB0" w:rsidP="001A5CB0">
      <w:pPr>
        <w:autoSpaceDE w:val="0"/>
        <w:autoSpaceDN w:val="0"/>
        <w:adjustRightInd w:val="0"/>
        <w:spacing w:after="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1. System musi funkcjonować w każdy dzień w godzinach od 6.00 do 17.00, z wyłączeniem sobót, niedziel i dni ustawowo wolnych od pracy. </w:t>
      </w:r>
    </w:p>
    <w:p w14:paraId="7F8E71A3" w14:textId="77777777" w:rsidR="001A5CB0" w:rsidRPr="001A5CB0" w:rsidRDefault="001A5CB0" w:rsidP="001A5CB0">
      <w:pPr>
        <w:autoSpaceDE w:val="0"/>
        <w:autoSpaceDN w:val="0"/>
        <w:adjustRightInd w:val="0"/>
        <w:spacing w:after="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2. Dostępność Systemu ustala się następująco: </w:t>
      </w:r>
    </w:p>
    <w:p w14:paraId="16AA75A0" w14:textId="77777777" w:rsidR="001A5CB0" w:rsidRPr="001A5CB0" w:rsidRDefault="001A5CB0" w:rsidP="007209C4">
      <w:pPr>
        <w:autoSpaceDE w:val="0"/>
        <w:autoSpaceDN w:val="0"/>
        <w:adjustRightInd w:val="0"/>
        <w:spacing w:after="50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w czasie jednego miesiąca kalendarzowego całkowita liczba godzin niedostępności Systemu nie może przekroczyć 8 godzin, </w:t>
      </w:r>
    </w:p>
    <w:p w14:paraId="246F34E6" w14:textId="77777777" w:rsidR="001A5CB0" w:rsidRPr="001A5CB0" w:rsidRDefault="001A5CB0" w:rsidP="007209C4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jednorazowa przerwa w działaniu systemu nie może trwać dłużej niż 4 godzin, </w:t>
      </w:r>
    </w:p>
    <w:p w14:paraId="594D10C1" w14:textId="77777777" w:rsidR="001A5CB0" w:rsidRPr="001A5CB0" w:rsidRDefault="001A5CB0" w:rsidP="007209C4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przy czym każda rozpoczęta godzina niedostępności Systemu liczona jest jako pełna. </w:t>
      </w:r>
    </w:p>
    <w:p w14:paraId="7C88949A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3. W ciągu miesiąca dozwolone są standardowe przerwy techniczne poza okresem wskazanym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w pkt. 1 powyżej, w godzinach od 18.00 do 06.00. Wykonawca musi poinformować Zamawiającego o wszystkich planowanych, standardowych przerwach technicznych. Standardowe przerwy techniczne nie są traktowane jak okres niedostępności Systemu. </w:t>
      </w:r>
    </w:p>
    <w:p w14:paraId="1EB9C5A5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lastRenderedPageBreak/>
        <w:t>4. W sytuacjach szczególnych Wykonawca może zwrócić się</w:t>
      </w:r>
      <w:r w:rsidR="007209C4">
        <w:rPr>
          <w:rFonts w:ascii="Times New Roman" w:hAnsi="Times New Roman"/>
          <w:color w:val="000000"/>
          <w:sz w:val="24"/>
          <w:szCs w:val="24"/>
        </w:rPr>
        <w:t xml:space="preserve"> do Zamawiającego z wnioskiem o 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dodatkową przerwę techniczną, niezależnie od standardowych przerw technicznych. Zamawiający przekaże niezwłocznie Wykonawcy informacje o akceptacji lub braku akceptacji na taką przerwę. </w:t>
      </w:r>
    </w:p>
    <w:p w14:paraId="57DFFB6B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5. Ustala się dwa rodzaje incydentów: </w:t>
      </w:r>
    </w:p>
    <w:p w14:paraId="46BD25B7" w14:textId="77777777" w:rsidR="001A5CB0" w:rsidRPr="001A5CB0" w:rsidRDefault="001A5CB0" w:rsidP="007209C4">
      <w:pPr>
        <w:autoSpaceDE w:val="0"/>
        <w:autoSpaceDN w:val="0"/>
        <w:adjustRightInd w:val="0"/>
        <w:spacing w:after="51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krytyczne - defekty lub błędy powodujące: czasową lub stałą niedostępność Systemu; zagrożenie dla bezpieczeństwa systemu/przetwarzanych danych; niewłaściwa realizacja funkcji oprogramowania (z wyłączeniem błędów w oprogramowaniu), </w:t>
      </w:r>
    </w:p>
    <w:p w14:paraId="615CC242" w14:textId="77777777" w:rsidR="001A5CB0" w:rsidRPr="001A5CB0" w:rsidRDefault="001A5CB0" w:rsidP="007209C4">
      <w:pPr>
        <w:autoSpaceDE w:val="0"/>
        <w:autoSpaceDN w:val="0"/>
        <w:adjustRightInd w:val="0"/>
        <w:spacing w:after="51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inne - defekt lub błąd niesklasyfikowany jako krytyczny, ale obniżający efektywność użytkowania Systemu lub jakiejś jego części. </w:t>
      </w:r>
    </w:p>
    <w:p w14:paraId="3E954394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6. W ramach obsługi incydentów, Wykonawca zobowiązuje się do zapewnienia czasu reakcji równego: </w:t>
      </w:r>
    </w:p>
    <w:p w14:paraId="7F4E6A4A" w14:textId="77777777" w:rsidR="001A5CB0" w:rsidRPr="001A5CB0" w:rsidRDefault="001A5CB0" w:rsidP="007209C4">
      <w:pPr>
        <w:autoSpaceDE w:val="0"/>
        <w:autoSpaceDN w:val="0"/>
        <w:adjustRightInd w:val="0"/>
        <w:spacing w:after="51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2 Godziny Robocze – dla incydentów krytycznych, </w:t>
      </w:r>
    </w:p>
    <w:p w14:paraId="7E509DCD" w14:textId="77777777" w:rsidR="001A5CB0" w:rsidRPr="001A5CB0" w:rsidRDefault="001A5CB0" w:rsidP="007209C4">
      <w:pPr>
        <w:autoSpaceDE w:val="0"/>
        <w:autoSpaceDN w:val="0"/>
        <w:adjustRightInd w:val="0"/>
        <w:spacing w:after="51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8 Godzin Roboczych – dla incydentów innych, </w:t>
      </w:r>
    </w:p>
    <w:p w14:paraId="75C2CAAA" w14:textId="77777777"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7. Wykonawca zobowiązuje się do rozwiązania incydentów: </w:t>
      </w:r>
    </w:p>
    <w:p w14:paraId="4CE5CC13" w14:textId="77777777" w:rsidR="001A5CB0" w:rsidRPr="001A5CB0" w:rsidRDefault="001A5CB0" w:rsidP="007209C4">
      <w:pPr>
        <w:autoSpaceDE w:val="0"/>
        <w:autoSpaceDN w:val="0"/>
        <w:adjustRightInd w:val="0"/>
        <w:spacing w:after="51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a) krytycznych – w terminie 6 Godzin Roboczych, </w:t>
      </w:r>
    </w:p>
    <w:p w14:paraId="26D2D988" w14:textId="77777777" w:rsidR="001A5CB0" w:rsidRPr="001A5CB0" w:rsidRDefault="001A5CB0" w:rsidP="007209C4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b) innych – w terminie 16 Godzin Roboczych, </w:t>
      </w:r>
    </w:p>
    <w:p w14:paraId="01F00E14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od momentu zgłoszenia incydentu przez Zamawiającego. </w:t>
      </w:r>
    </w:p>
    <w:p w14:paraId="7158B64E" w14:textId="0CEAE92C" w:rsidR="001A5CB0" w:rsidRPr="001A5CB0" w:rsidRDefault="001A5CB0" w:rsidP="001A5CB0">
      <w:pPr>
        <w:autoSpaceDE w:val="0"/>
        <w:autoSpaceDN w:val="0"/>
        <w:adjustRightInd w:val="0"/>
        <w:spacing w:after="7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8. Wykonawca zobowiązuje się uruchomić przetwarzanie w zapasowym ośrodku obliczeniowym Zamawiającego (BDC) w terminie 8 Godzin Roboczych licząc od momentu wystąpienia sytuacji wymagającej podjęcie ww. czynności (okres od godziny 17</w:t>
      </w:r>
      <w:r w:rsidR="00F446B9">
        <w:rPr>
          <w:rFonts w:ascii="Times New Roman" w:hAnsi="Times New Roman"/>
          <w:color w:val="000000"/>
          <w:sz w:val="24"/>
          <w:szCs w:val="24"/>
        </w:rPr>
        <w:t>.00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D16270">
        <w:rPr>
          <w:rFonts w:ascii="Times New Roman" w:hAnsi="Times New Roman"/>
          <w:color w:val="000000"/>
          <w:sz w:val="24"/>
          <w:szCs w:val="24"/>
        </w:rPr>
        <w:t>6</w:t>
      </w:r>
      <w:r w:rsidR="00F446B9">
        <w:rPr>
          <w:rFonts w:ascii="Times New Roman" w:hAnsi="Times New Roman"/>
          <w:color w:val="000000"/>
          <w:sz w:val="24"/>
          <w:szCs w:val="24"/>
        </w:rPr>
        <w:t>.00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nie jest liczony). Przełączenie przetwarzania do BDC wymaga zgody Zamawiającego. </w:t>
      </w:r>
    </w:p>
    <w:p w14:paraId="7356D282" w14:textId="77777777" w:rsidR="001A5CB0" w:rsidRPr="001A5CB0" w:rsidRDefault="001A5CB0" w:rsidP="001A5CB0">
      <w:pPr>
        <w:autoSpaceDE w:val="0"/>
        <w:autoSpaceDN w:val="0"/>
        <w:adjustRightInd w:val="0"/>
        <w:spacing w:after="7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9. Na powrót do przetwarzania w PDC wymagana jest zgoda Zamawiającego. Zamawiający decyduje o terminie przełączenia na przetwarzanie do PDC. </w:t>
      </w:r>
    </w:p>
    <w:p w14:paraId="64D6C607" w14:textId="77777777"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10. Wykonawca zapewni udzielenie odpowiedzi przez konsultanta w ramach konsultacji zdalnych w czasie nie dłuższym niż 2 Dni Robocze licząc od momentu złożenia do Wykonawcy zapytania. </w:t>
      </w:r>
    </w:p>
    <w:p w14:paraId="1E77DDAD" w14:textId="77777777"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7FF53C" w14:textId="77777777"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EFF244" w14:textId="77777777"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2DCABB" w14:textId="77777777"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9C75255" w14:textId="77777777"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EAE7506" w14:textId="77777777"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5CC4179" w14:textId="77777777"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7F86DB6" w14:textId="77777777"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095C624" w14:textId="77777777"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CDF49EA" w14:textId="77777777" w:rsidR="00551F76" w:rsidRDefault="00551F76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D237324" w14:textId="77777777" w:rsidR="00551F76" w:rsidRPr="001A5CB0" w:rsidRDefault="00551F76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40523D1" w14:textId="77777777"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18E09D4" w14:textId="77777777" w:rsidR="001A5CB0" w:rsidRPr="001A5CB0" w:rsidRDefault="001A5CB0" w:rsidP="001A5CB0">
      <w:pPr>
        <w:suppressAutoHyphens/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A5CB0">
        <w:rPr>
          <w:rFonts w:ascii="Times New Roman" w:eastAsia="Times New Roman" w:hAnsi="Times New Roman"/>
          <w:b/>
          <w:sz w:val="24"/>
          <w:szCs w:val="24"/>
        </w:rPr>
        <w:lastRenderedPageBreak/>
        <w:t>Załącznik nr 2</w:t>
      </w:r>
    </w:p>
    <w:p w14:paraId="411BB300" w14:textId="77777777" w:rsidR="001A5CB0" w:rsidRPr="001A5CB0" w:rsidRDefault="001A5CB0" w:rsidP="001A5CB0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>do Umowy nr ………..</w:t>
      </w:r>
    </w:p>
    <w:p w14:paraId="5EAEEE8D" w14:textId="77777777" w:rsidR="001A5CB0" w:rsidRPr="001A5CB0" w:rsidRDefault="001A5CB0" w:rsidP="001A5CB0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>z dn. …………………….</w:t>
      </w:r>
    </w:p>
    <w:p w14:paraId="78027D92" w14:textId="77777777" w:rsidR="001A5CB0" w:rsidRPr="001A5CB0" w:rsidRDefault="001A5CB0" w:rsidP="001A5CB0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5CB0">
        <w:rPr>
          <w:rFonts w:ascii="Times New Roman" w:eastAsia="Times New Roman" w:hAnsi="Times New Roman"/>
          <w:b/>
          <w:sz w:val="24"/>
          <w:szCs w:val="24"/>
        </w:rPr>
        <w:t>Opis Systemu</w:t>
      </w:r>
    </w:p>
    <w:p w14:paraId="12984EE4" w14:textId="77777777" w:rsidR="001A5CB0" w:rsidRPr="001A5CB0" w:rsidRDefault="001A5CB0" w:rsidP="001A5CB0">
      <w:pPr>
        <w:spacing w:after="20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 w:val="24"/>
          <w:szCs w:val="24"/>
          <w:lang w:eastAsia="en-US"/>
        </w:rPr>
        <w:t>Opis Systemu Archiwizacji</w:t>
      </w:r>
    </w:p>
    <w:p w14:paraId="78173640" w14:textId="77777777" w:rsidR="001A5CB0" w:rsidRP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 dokumencie wykorzystywane są następujące pojęcia: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806"/>
        <w:gridCol w:w="5528"/>
      </w:tblGrid>
      <w:tr w:rsidR="001A5CB0" w:rsidRPr="001A5CB0" w14:paraId="4AA7803F" w14:textId="77777777" w:rsidTr="00897DBB">
        <w:trPr>
          <w:trHeight w:val="24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922A6" w14:textId="77777777"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Termin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2F547" w14:textId="77777777"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Synonimy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85665" w14:textId="77777777"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E6743F9" w14:textId="77777777"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Wyjaśnienie</w:t>
            </w:r>
            <w:proofErr w:type="spellEnd"/>
          </w:p>
        </w:tc>
      </w:tr>
      <w:tr w:rsidR="001A5CB0" w:rsidRPr="001A5CB0" w14:paraId="61B8C7B7" w14:textId="77777777" w:rsidTr="001A5CB0">
        <w:trPr>
          <w:trHeight w:val="3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D418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Podsystem EDR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8631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EDR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DBF40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Składnik</w:t>
            </w:r>
            <w:r w:rsidR="00F446B9">
              <w:rPr>
                <w:rFonts w:ascii="Times New Roman" w:eastAsia="Calibri" w:hAnsi="Times New Roman"/>
                <w:szCs w:val="24"/>
                <w:lang w:eastAsia="en-US"/>
              </w:rPr>
              <w:t>i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Systemu zawierające konfigurację oraz modyfikacje aplikacji umożliwiające rejestrację przesyłek, dokumentów i spraw zgodnie z obowiązującymi przepisami prawa i regulacjami KRUS (m.in. Instrukcja Kancelaryjna, JRWA, Instrukcja Archiwalna). Podsystem będzie umożliwiał:</w:t>
            </w:r>
          </w:p>
          <w:p w14:paraId="0ACEAA95" w14:textId="77777777" w:rsidR="001A5CB0" w:rsidRPr="001A5CB0" w:rsidRDefault="001A5CB0" w:rsidP="00D416E4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skanowanie, rejestrację dokumentów wraz z wprowadzaniem wartości zdefiniowanych indeksów oraz zarządzanie dokumentami elektronicznymi (wyszukiwanie, przeglądanie, modyfikacje metadanych, drukowanie itp.), </w:t>
            </w:r>
          </w:p>
          <w:p w14:paraId="3572CFAD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dokumentowanie przebiegu załatwiania spraw oraz gromadzenie i tworzenie dokumentów elektronicznych. </w:t>
            </w:r>
          </w:p>
          <w:p w14:paraId="1095E68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Podsystem EDR  zapewnia zintegrowany z infrastrukturą SSO oraz IAM – w zakresie kontroli dostępu i autentykacji użytkowników Systemu oraz zapewnia możliwość  nadawania uprawnień użytkownikom w zależności od ich funkcji i stanowiska  w strukturze organizacyjnej oraz przypisanej roli w Systemie</w:t>
            </w:r>
          </w:p>
        </w:tc>
      </w:tr>
      <w:tr w:rsidR="001A5CB0" w:rsidRPr="001A5CB0" w14:paraId="5AEE74E4" w14:textId="77777777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2A40E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System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C682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98EB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System Archiwum</w:t>
            </w:r>
          </w:p>
        </w:tc>
      </w:tr>
      <w:tr w:rsidR="001A5CB0" w:rsidRPr="001A5CB0" w14:paraId="2CF5E664" w14:textId="77777777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7430C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JBOSS EAP 5.1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3CC4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JBOSS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053A7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Platforma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serwera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aplikacyjnego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standaru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J2EE: JBOSS Enterprise Application Platform 5.1</w:t>
            </w:r>
          </w:p>
        </w:tc>
      </w:tr>
      <w:tr w:rsidR="001A5CB0" w:rsidRPr="001A5CB0" w14:paraId="41C4C49B" w14:textId="77777777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4510F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Content Engine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69846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7798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Rdzeń podsystemu EDR, oparty na produkcie 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P8 Content Engine 5.0</w:t>
            </w:r>
          </w:p>
        </w:tc>
      </w:tr>
      <w:tr w:rsidR="001A5CB0" w:rsidRPr="001A5CB0" w14:paraId="1BBFAA09" w14:textId="77777777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7459A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Application Engine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606E0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AE,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Workplace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2A8B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Element podsystemu EDR, stanowiący właściwą implementację Systemu Archiwum jako aplikacja standardu J2EE. Aplikacja oparta jest o produkt 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P8 Application Engine (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Workplace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</w:tc>
      </w:tr>
    </w:tbl>
    <w:p w14:paraId="22EAD33E" w14:textId="77777777" w:rsid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 xml:space="preserve">W dokumencie wykorzystywane są następujące skróty i akronimy. </w:t>
      </w:r>
    </w:p>
    <w:p w14:paraId="25B6BF4D" w14:textId="77777777" w:rsidR="006C6D70" w:rsidRPr="001A5CB0" w:rsidRDefault="006C6D7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825"/>
      </w:tblGrid>
      <w:tr w:rsidR="001A5CB0" w:rsidRPr="001A5CB0" w14:paraId="48486BC5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B547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Akronim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4980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Znaczenie</w:t>
            </w:r>
          </w:p>
        </w:tc>
      </w:tr>
      <w:tr w:rsidR="001A5CB0" w:rsidRPr="001A5CB0" w14:paraId="3B2C9B76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B4E38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ECM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722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Enterprise Content Management</w:t>
            </w:r>
          </w:p>
        </w:tc>
      </w:tr>
      <w:tr w:rsidR="001A5CB0" w:rsidRPr="001A5CB0" w14:paraId="0BA2408C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4CE6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ESB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F9C77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Enterprise Service Bus</w:t>
            </w:r>
          </w:p>
        </w:tc>
      </w:tr>
      <w:tr w:rsidR="001A5CB0" w:rsidRPr="001A5CB0" w14:paraId="3FCE2B2C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00FD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HTTP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EAB7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Hypertext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Transfer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Protocol</w:t>
            </w:r>
            <w:proofErr w:type="spellEnd"/>
          </w:p>
        </w:tc>
      </w:tr>
      <w:tr w:rsidR="001A5CB0" w:rsidRPr="001A5CB0" w14:paraId="2E54D654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15C4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J2EE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EF7C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2 Enterprise Edition</w:t>
            </w:r>
          </w:p>
        </w:tc>
      </w:tr>
      <w:tr w:rsidR="001A5CB0" w:rsidRPr="001A5CB0" w14:paraId="65CCBC2B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151C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EE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7650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Java, Enterprise Edition</w:t>
            </w:r>
          </w:p>
        </w:tc>
      </w:tr>
      <w:tr w:rsidR="001A5CB0" w:rsidRPr="001A5CB0" w14:paraId="6ED09FED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A70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JDBC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40A4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lang w:eastAsia="en-US"/>
              </w:rPr>
              <w:t xml:space="preserve">Java </w:t>
            </w:r>
            <w:proofErr w:type="spellStart"/>
            <w:r w:rsidRPr="001A5CB0">
              <w:rPr>
                <w:rFonts w:ascii="Times New Roman" w:eastAsia="Calibri" w:hAnsi="Times New Roman"/>
                <w:lang w:eastAsia="en-US"/>
              </w:rPr>
              <w:t>DataBase</w:t>
            </w:r>
            <w:proofErr w:type="spellEnd"/>
            <w:r w:rsidRPr="001A5CB0">
              <w:rPr>
                <w:rFonts w:ascii="Times New Roman" w:eastAsia="Calibri" w:hAnsi="Times New Roman"/>
                <w:lang w:eastAsia="en-US"/>
              </w:rPr>
              <w:t xml:space="preserve"> Connectivity</w:t>
            </w:r>
          </w:p>
        </w:tc>
      </w:tr>
      <w:tr w:rsidR="001A5CB0" w:rsidRPr="001A5CB0" w14:paraId="294A91EF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4AD2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JEE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40B7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Enterprise Edition</w:t>
            </w:r>
          </w:p>
        </w:tc>
      </w:tr>
      <w:tr w:rsidR="001A5CB0" w:rsidRPr="001A5CB0" w14:paraId="6A5C7AA1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556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JMS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AA4F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Message Service</w:t>
            </w:r>
          </w:p>
        </w:tc>
      </w:tr>
      <w:tr w:rsidR="001A5CB0" w:rsidRPr="001A5CB0" w14:paraId="67671E44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5BD6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JRWA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5096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Jednolity Rzeczowy Wykaz Akt</w:t>
            </w:r>
          </w:p>
        </w:tc>
      </w:tr>
      <w:tr w:rsidR="001A5CB0" w:rsidRPr="001A5CB0" w14:paraId="15A9B8AF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11315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LAN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FA8D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Local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Area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Network</w:t>
            </w:r>
          </w:p>
        </w:tc>
      </w:tr>
      <w:tr w:rsidR="001A5CB0" w:rsidRPr="001A5CB0" w14:paraId="2DCD85C3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D3A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LDAP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DC2D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Lightweight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Directory Access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Protocol</w:t>
            </w:r>
            <w:proofErr w:type="spellEnd"/>
          </w:p>
        </w:tc>
      </w:tr>
      <w:tr w:rsidR="001A5CB0" w:rsidRPr="001A5CB0" w14:paraId="4348E4CC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5465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NAS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7644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Network Attached Storage</w:t>
            </w:r>
          </w:p>
        </w:tc>
      </w:tr>
      <w:tr w:rsidR="001A5CB0" w:rsidRPr="001A5CB0" w14:paraId="25EFB42E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E34A2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PDC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127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Primary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Data Center</w:t>
            </w:r>
          </w:p>
        </w:tc>
      </w:tr>
      <w:tr w:rsidR="001A5CB0" w:rsidRPr="001A5CB0" w14:paraId="050C261A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04B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RAC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405D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Real Application Cluster</w:t>
            </w:r>
          </w:p>
        </w:tc>
      </w:tr>
      <w:tr w:rsidR="001A5CB0" w:rsidRPr="001A5CB0" w14:paraId="2B1578C7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5FA7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RAID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69F4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val="en-US" w:eastAsia="en-US"/>
              </w:rPr>
              <w:t>Redundant Array of Independent Disks</w:t>
            </w:r>
          </w:p>
        </w:tc>
      </w:tr>
      <w:tr w:rsidR="001A5CB0" w:rsidRPr="001A5CB0" w14:paraId="24BF33B7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3A8A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RDBMS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AE95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Relational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DataBase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Management System</w:t>
            </w:r>
          </w:p>
        </w:tc>
      </w:tr>
      <w:tr w:rsidR="001A5CB0" w:rsidRPr="001A5CB0" w14:paraId="50E4A529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FC60E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SAN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D803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Storage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Area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Network</w:t>
            </w:r>
          </w:p>
        </w:tc>
      </w:tr>
      <w:tr w:rsidR="001A5CB0" w:rsidRPr="001A5CB0" w14:paraId="29B6A693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0E6F7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WWW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9971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World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Wide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Web</w:t>
            </w:r>
          </w:p>
        </w:tc>
      </w:tr>
      <w:tr w:rsidR="001A5CB0" w:rsidRPr="001A5CB0" w14:paraId="0255A849" w14:textId="77777777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11EFB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VCS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E6B43" w14:textId="77777777"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Veritas Cluster Services</w:t>
            </w:r>
          </w:p>
        </w:tc>
      </w:tr>
    </w:tbl>
    <w:p w14:paraId="2B259BD0" w14:textId="77777777" w:rsidR="001A5CB0" w:rsidRP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5CD7433E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 dokumencie wykorzystano elementy </w:t>
      </w:r>
      <w:r w:rsidRPr="001A5CB0">
        <w:rPr>
          <w:rFonts w:ascii="Times New Roman" w:eastAsia="Calibri" w:hAnsi="Times New Roman"/>
          <w:iCs/>
          <w:szCs w:val="24"/>
          <w:lang w:eastAsia="en-US"/>
        </w:rPr>
        <w:t xml:space="preserve">Zunifikowanego Języka Modelowania (ang. </w:t>
      </w:r>
      <w:proofErr w:type="spellStart"/>
      <w:r w:rsidRPr="001A5CB0">
        <w:rPr>
          <w:rFonts w:ascii="Times New Roman" w:eastAsia="Calibri" w:hAnsi="Times New Roman"/>
          <w:iCs/>
          <w:szCs w:val="24"/>
          <w:lang w:eastAsia="en-US"/>
        </w:rPr>
        <w:t>Unified</w:t>
      </w:r>
      <w:proofErr w:type="spellEnd"/>
      <w:r w:rsidRPr="001A5CB0">
        <w:rPr>
          <w:rFonts w:ascii="Times New Roman" w:eastAsia="Calibri" w:hAnsi="Times New Roman"/>
          <w:iCs/>
          <w:szCs w:val="24"/>
          <w:lang w:eastAsia="en-US"/>
        </w:rPr>
        <w:t xml:space="preserve"> Modeling Language), który jest językiem wizualizacji, specyfikacji, konstrukcji i dokumentacji artefaktów związanych </w:t>
      </w:r>
      <w:r w:rsidRPr="001A5CB0">
        <w:rPr>
          <w:rFonts w:ascii="Times New Roman" w:eastAsia="Calibri" w:hAnsi="Times New Roman"/>
          <w:iCs/>
          <w:szCs w:val="24"/>
          <w:lang w:eastAsia="en-US"/>
        </w:rPr>
        <w:br/>
        <w:t xml:space="preserve">z tworzeniem oprogramowania. W dokumencie użyto notacji Diagramów Rozmieszczenia stanowiących element notacji tego języka. </w:t>
      </w:r>
    </w:p>
    <w:p w14:paraId="493B99B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Diagramy rozmieszczenia pozwalają modelować architekturę systemów i przedstawiają powiązanie (rozmieszczenie) artefaktów oprogramowania (np. komponentów) do węzłów lub innych większych  komponentów.</w:t>
      </w:r>
    </w:p>
    <w:p w14:paraId="0E849C1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Węzły reprezentują urządzenia sprzętowe lub środowiska uruchamiania oprogramowania (np. systemy operacyjne lub serwery aplikacyjne). Artefakty reprezentują konkretne elementy w świecie fizycznym, które są wynikiem prac r</w:t>
      </w:r>
      <w:r w:rsidR="0009279B">
        <w:rPr>
          <w:rFonts w:ascii="Times New Roman" w:eastAsia="Calibri" w:hAnsi="Times New Roman"/>
          <w:szCs w:val="24"/>
          <w:lang w:eastAsia="en-US"/>
        </w:rPr>
        <w:t>ozwojowych i są rozmieszczane w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węzłach. </w:t>
      </w:r>
    </w:p>
    <w:p w14:paraId="1064979D" w14:textId="77777777"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7E192E89" w14:textId="77777777"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271B2912" w14:textId="77777777"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58034F36" w14:textId="77777777"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1202A2E3" w14:textId="77777777" w:rsid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>Poniżej przedstawiono opis podstawowych elementów notacji Diagramów Rozmieszczenia:</w:t>
      </w:r>
    </w:p>
    <w:p w14:paraId="0A2F90E5" w14:textId="77777777" w:rsidR="006C6D70" w:rsidRPr="001A5CB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6454"/>
      </w:tblGrid>
      <w:tr w:rsidR="001A5CB0" w:rsidRPr="001A5CB0" w14:paraId="1A95FA79" w14:textId="77777777" w:rsidTr="001A5CB0">
        <w:tc>
          <w:tcPr>
            <w:tcW w:w="2943" w:type="dxa"/>
            <w:vAlign w:val="center"/>
          </w:tcPr>
          <w:p w14:paraId="5DD65E08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36F094F6" wp14:editId="468F603B">
                  <wp:extent cx="1333500" cy="619125"/>
                  <wp:effectExtent l="0" t="0" r="0" b="0"/>
                  <wp:docPr id="5" name="Obraz 5" descr="Artifact is presented using an ordinary class rectangle with the keyword artifa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rtifact is presented using an ordinary class rectangle with the keyword artifa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14:paraId="03E245A2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Artefakt reprezentuje fizyczną encję, informację która jest wykorzystywana lub jest produkowana w trakcie procesu tworzenia oprogramowania.</w:t>
            </w:r>
          </w:p>
        </w:tc>
      </w:tr>
      <w:tr w:rsidR="001A5CB0" w:rsidRPr="001A5CB0" w14:paraId="741E969E" w14:textId="77777777" w:rsidTr="001A5CB0">
        <w:tc>
          <w:tcPr>
            <w:tcW w:w="2943" w:type="dxa"/>
            <w:vAlign w:val="center"/>
          </w:tcPr>
          <w:p w14:paraId="06B6A44A" w14:textId="77777777" w:rsidR="001A5CB0" w:rsidRPr="001A5CB0" w:rsidRDefault="00501559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056BA07D" wp14:editId="0CF881DA">
                  <wp:extent cx="1002030" cy="302260"/>
                  <wp:effectExtent l="0" t="0" r="0" b="0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14:paraId="27C9646E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Reprezentuje relację zależności między artefaktami. </w:t>
            </w:r>
          </w:p>
        </w:tc>
      </w:tr>
      <w:tr w:rsidR="001A5CB0" w:rsidRPr="001A5CB0" w14:paraId="531B4070" w14:textId="77777777" w:rsidTr="001A5CB0">
        <w:tc>
          <w:tcPr>
            <w:tcW w:w="2943" w:type="dxa"/>
            <w:vAlign w:val="center"/>
          </w:tcPr>
          <w:p w14:paraId="54851040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349A42A4" wp14:editId="1CFB5B22">
                  <wp:extent cx="1333500" cy="800100"/>
                  <wp:effectExtent l="0" t="0" r="0" b="0"/>
                  <wp:docPr id="4" name="Obraz 4" descr="Node is shown as a perspective, 3-dimensional view of a cub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Node is shown as a perspective, 3-dimensional view of a cub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14:paraId="0FCD53F9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Węzeł - stanowi cel rozmieszczenia innych artefaktów. </w:t>
            </w:r>
          </w:p>
        </w:tc>
      </w:tr>
      <w:tr w:rsidR="001A5CB0" w:rsidRPr="001A5CB0" w14:paraId="78CAB475" w14:textId="77777777" w:rsidTr="001A5CB0">
        <w:tc>
          <w:tcPr>
            <w:tcW w:w="2943" w:type="dxa"/>
          </w:tcPr>
          <w:p w14:paraId="5783DF61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71E3DAC0" wp14:editId="4D4BE8D1">
                  <wp:extent cx="1333500" cy="809625"/>
                  <wp:effectExtent l="0" t="0" r="0" b="0"/>
                  <wp:docPr id="3" name="Obraz 3" descr="Device is notated by a perspective view of a cube tagged with the keyword devi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Device is notated by a perspective view of a cube tagged with the keyword devi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14:paraId="791D6C25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Urządzenie - węzeł z określonym stereotypem &lt;&lt;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device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&gt;&gt;. </w:t>
            </w:r>
          </w:p>
        </w:tc>
      </w:tr>
      <w:tr w:rsidR="001A5CB0" w:rsidRPr="001A5CB0" w14:paraId="09141FAE" w14:textId="77777777" w:rsidTr="001A5CB0">
        <w:tc>
          <w:tcPr>
            <w:tcW w:w="2943" w:type="dxa"/>
          </w:tcPr>
          <w:p w14:paraId="1379F7CC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742F7782" wp14:editId="5C08B168">
                  <wp:extent cx="1714500" cy="971550"/>
                  <wp:effectExtent l="0" t="0" r="0" b="0"/>
                  <wp:docPr id="2" name="Obraz 2" descr="Execution environment notated as 3-dimensional no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Execution environment notated as 3-dimensional no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14:paraId="49241A5C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Środowisko uruchomieniowe - węzeł z określonym stereotypem &lt;&lt;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executionEnvironment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&gt;&gt;.</w:t>
            </w:r>
          </w:p>
        </w:tc>
      </w:tr>
      <w:tr w:rsidR="001A5CB0" w:rsidRPr="001A5CB0" w14:paraId="28D68A18" w14:textId="77777777" w:rsidTr="001A5CB0">
        <w:tc>
          <w:tcPr>
            <w:tcW w:w="2943" w:type="dxa"/>
          </w:tcPr>
          <w:p w14:paraId="64100B09" w14:textId="77777777" w:rsidR="001A5CB0" w:rsidRPr="001A5CB0" w:rsidRDefault="00501559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 wp14:anchorId="548AD44C" wp14:editId="6CFF4890">
                  <wp:extent cx="1256030" cy="659765"/>
                  <wp:effectExtent l="0" t="0" r="0" b="0"/>
                  <wp:docPr id="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14:paraId="56843448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Komponent - modularna część opisywanego Systemu. </w:t>
            </w:r>
          </w:p>
        </w:tc>
      </w:tr>
    </w:tbl>
    <w:p w14:paraId="497C8FB0" w14:textId="77777777" w:rsidR="001A5CB0" w:rsidRPr="001A5CB0" w:rsidRDefault="001A5CB0" w:rsidP="001A5CB0">
      <w:pPr>
        <w:spacing w:after="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AA12C07" w14:textId="77777777"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</w:pPr>
      <w:bookmarkStart w:id="1" w:name="_Toc303019211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Informacje ogólne</w:t>
      </w:r>
    </w:p>
    <w:p w14:paraId="2422E143" w14:textId="77777777" w:rsidR="001A5CB0" w:rsidRPr="001A5CB0" w:rsidRDefault="001A5CB0" w:rsidP="001A5CB0">
      <w:pPr>
        <w:spacing w:after="200" w:line="276" w:lineRule="auto"/>
        <w:ind w:left="36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Na podsystem EDR składają się następujące komponenty:</w:t>
      </w:r>
    </w:p>
    <w:p w14:paraId="69287D36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Infrastruktura sieci SAN</w:t>
      </w:r>
    </w:p>
    <w:p w14:paraId="51587175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Infrastruktura obejmuje aktywne i pasywne urządzenia sieci Storage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Area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Network, dedykowane do zapewniania zasobów dyskowych serwerom Systemu Archiwum,</w:t>
      </w:r>
    </w:p>
    <w:p w14:paraId="49058479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Infrastruktura sieci LAN</w:t>
      </w:r>
    </w:p>
    <w:p w14:paraId="73B7F02B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Infrastruktura obejmuje aktywne i pasywne urządzenia sieci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Local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Area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Network, dedykowane do zapewniania komunikacji sieciowej serwerom Systemu Archiwum,</w:t>
      </w:r>
    </w:p>
    <w:p w14:paraId="72859622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 dyskowa N6400 </w:t>
      </w:r>
    </w:p>
    <w:p w14:paraId="09DD8194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Urządzenie dyskowe, udostępniające zasoby dyskowe serwerom bazodanowym oraz serwerom aplikacyjnym JBOSS,</w:t>
      </w:r>
    </w:p>
    <w:p w14:paraId="11C0BB8C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Usługa katalogowa LDAP</w:t>
      </w:r>
    </w:p>
    <w:p w14:paraId="29E7A6DA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 reprezentowany jest przez instancję oprogramowania Oracle Internet Directory 11G 1.1.3,</w:t>
      </w:r>
    </w:p>
    <w:p w14:paraId="36F8CD7E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Motor bazy danych ORACLE</w:t>
      </w:r>
    </w:p>
    <w:p w14:paraId="01F01B84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Motor bazy danych Oracle 11GR2 (</w:t>
      </w:r>
      <w:r w:rsidRPr="001A5CB0">
        <w:rPr>
          <w:rFonts w:ascii="Times New Roman" w:eastAsia="Times-Roman" w:hAnsi="Times New Roman"/>
          <w:szCs w:val="24"/>
          <w:lang w:eastAsia="en-US"/>
        </w:rPr>
        <w:t xml:space="preserve">11.2.0.2.3)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Standard  Edition dla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RedHat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Linux w konfiguracji RAC,</w:t>
      </w:r>
    </w:p>
    <w:p w14:paraId="735C4807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Serwery aplikacyjne JBOSS</w:t>
      </w:r>
    </w:p>
    <w:p w14:paraId="364433C6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Serwery z zainstalowanym środowiskiem aplikacyjnym standardu J2EE: JBOSS Enterprise Application Platform 5.1, pracujące w konfiguracji farmy,</w:t>
      </w:r>
    </w:p>
    <w:p w14:paraId="71830DD1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Serwery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Balancer</w:t>
      </w:r>
      <w:proofErr w:type="spellEnd"/>
    </w:p>
    <w:p w14:paraId="4BB5F16D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Serwery z zainstalowanym komponentem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(reprezentowanym w kontekście systemu Archiwum przez oprogramowanie Apache HTTP Server + moduł zapewniający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1A5CB0">
        <w:rPr>
          <w:rFonts w:ascii="Times New Roman" w:eastAsia="Calibri" w:hAnsi="Times New Roman"/>
          <w:szCs w:val="24"/>
          <w:lang w:eastAsia="en-US"/>
        </w:rPr>
        <w:br/>
        <w:t xml:space="preserve">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failover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dla aplikacji pracujących w farmie serwerów aplikacyjnych JBOSS), pracujące w klastrze VCS w konfiguracji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active-passive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1DFBCF05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IBM P8 Content Engine</w:t>
      </w:r>
    </w:p>
    <w:p w14:paraId="6041C649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Komponent, reprezentowany jako aplikacja standardu J2EE, uruchamiana w kontekście farmy serwerów aplikacyjnych JBOSS. Zapewnia rdzeń funkcjonalności Systemu Archiwum,</w:t>
      </w:r>
    </w:p>
    <w:p w14:paraId="5660C5B2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IBM P8 Application Engine</w:t>
      </w:r>
    </w:p>
    <w:p w14:paraId="598D1C13" w14:textId="77777777"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Komponent, reprezentowany jako aplikacja standardu J2EE, uruchamiana w kontekście farmy serwerów aplikacyjnych JBOSS. Zapewnia interfejs użytkownika Systemu Archiwum,</w:t>
      </w:r>
    </w:p>
    <w:p w14:paraId="157AD9A6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>Komponenty dodatkowe</w:t>
      </w:r>
    </w:p>
    <w:p w14:paraId="24FC797E" w14:textId="77777777" w:rsidR="001A5CB0" w:rsidRPr="001A5CB0" w:rsidRDefault="001A5CB0" w:rsidP="001A5CB0">
      <w:pPr>
        <w:spacing w:after="200" w:line="276" w:lineRule="auto"/>
        <w:ind w:left="708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Komponenty, reprezentowane jako aplikacje standardu J2EE, uruchamiane w kontekście farmy serwerów aplikacyjnych JBOSS. Zapewniają funkcjonalność Systemu Archiwum oraz wymianę danych z podsystemami zewnętrznymi.</w:t>
      </w:r>
    </w:p>
    <w:p w14:paraId="04CD957E" w14:textId="77777777" w:rsidR="001A5CB0" w:rsidRPr="001A5CB0" w:rsidRDefault="001A5CB0" w:rsidP="001A5CB0">
      <w:pPr>
        <w:spacing w:after="200" w:line="276" w:lineRule="auto"/>
        <w:jc w:val="both"/>
        <w:rPr>
          <w:rFonts w:ascii="Arial" w:eastAsia="Calibri" w:hAnsi="Arial" w:cs="Arial"/>
          <w:szCs w:val="24"/>
          <w:lang w:eastAsia="x-none"/>
        </w:rPr>
      </w:pPr>
    </w:p>
    <w:p w14:paraId="5DECB78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Archiwum komunikuje się z następującymi komponentami infrastruktury informatycznej KRUS:</w:t>
      </w:r>
    </w:p>
    <w:p w14:paraId="5D4964B9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Centralna Szyna ESB - element Platformy Integracyjnej KRUS udostępniający usługi i pośredniczący w komunikacji </w:t>
      </w:r>
      <w:r w:rsidR="0009279B">
        <w:rPr>
          <w:rFonts w:ascii="Times New Roman" w:eastAsia="Calibri" w:hAnsi="Times New Roman"/>
          <w:szCs w:val="24"/>
          <w:lang w:eastAsia="en-US"/>
        </w:rPr>
        <w:t>między integrowanymi systemami d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o komunikacji z innymi systemami będzie używana Centralna Szyna ESB. </w:t>
      </w:r>
    </w:p>
    <w:p w14:paraId="63A9ED43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Oracle Internet Directory - usługa katalogowa udostępniająca informacje o użytkownikach i rolach Systemu Archiwum,</w:t>
      </w:r>
    </w:p>
    <w:p w14:paraId="09001E4D" w14:textId="77777777"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Microsoft Exchange - serwer pocztowy (e-mail), używany w zakresie obsługi przesyłek e-mail.</w:t>
      </w:r>
    </w:p>
    <w:p w14:paraId="64972638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b/>
          <w:szCs w:val="24"/>
        </w:rPr>
      </w:pPr>
      <w:r w:rsidRPr="001A5CB0">
        <w:rPr>
          <w:rFonts w:ascii="Times New Roman" w:eastAsia="Calibri" w:hAnsi="Times New Roman"/>
          <w:szCs w:val="24"/>
          <w:lang w:eastAsia="en-US"/>
        </w:rPr>
        <w:br w:type="page"/>
      </w: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>Na poniższym przedstawiono szczegółowy diagram rozmieszczenia Systemu Archiwum.</w:t>
      </w:r>
    </w:p>
    <w:p w14:paraId="15A21FAB" w14:textId="77777777" w:rsidR="001A5CB0" w:rsidRPr="001A5CB0" w:rsidRDefault="001A5CB0" w:rsidP="001A5CB0">
      <w:pPr>
        <w:keepNext/>
        <w:autoSpaceDE w:val="0"/>
        <w:autoSpaceDN w:val="0"/>
        <w:adjustRightInd w:val="0"/>
        <w:spacing w:after="200" w:line="276" w:lineRule="auto"/>
        <w:rPr>
          <w:rFonts w:ascii="Calibri" w:eastAsia="Calibri" w:hAnsi="Calibri"/>
        </w:rPr>
      </w:pPr>
      <w:r w:rsidRPr="001A5CB0">
        <w:rPr>
          <w:rFonts w:ascii="Arial" w:eastAsia="Calibri" w:hAnsi="Arial" w:cs="Arial"/>
          <w:noProof/>
        </w:rPr>
        <w:drawing>
          <wp:inline distT="0" distB="0" distL="0" distR="0" wp14:anchorId="188FBE2A" wp14:editId="5D7F22DA">
            <wp:extent cx="5934053" cy="6800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501" cy="682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9720" w14:textId="7D426F66" w:rsidR="001A5CB0" w:rsidRPr="001A5CB0" w:rsidRDefault="001A5CB0" w:rsidP="006C6D70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Ref307115332"/>
      <w:r w:rsidRPr="001A5CB0">
        <w:rPr>
          <w:rFonts w:ascii="Arial" w:eastAsia="Times New Roman" w:hAnsi="Arial"/>
          <w:b/>
          <w:bCs/>
          <w:sz w:val="20"/>
          <w:szCs w:val="20"/>
        </w:rPr>
        <w:t xml:space="preserve">Rysunek </w: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begin"/>
      </w:r>
      <w:r w:rsidRPr="001A5CB0">
        <w:rPr>
          <w:rFonts w:ascii="Arial" w:eastAsia="Times New Roman" w:hAnsi="Arial"/>
          <w:b/>
          <w:bCs/>
          <w:sz w:val="20"/>
          <w:szCs w:val="20"/>
        </w:rPr>
        <w:instrText xml:space="preserve"> SEQ Rysunek \* ARABIC </w:instrTex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separate"/>
      </w:r>
      <w:r w:rsidR="00FB55A2">
        <w:rPr>
          <w:rFonts w:ascii="Arial" w:eastAsia="Times New Roman" w:hAnsi="Arial"/>
          <w:b/>
          <w:bCs/>
          <w:noProof/>
          <w:sz w:val="20"/>
          <w:szCs w:val="20"/>
        </w:rPr>
        <w:t>1</w: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end"/>
      </w:r>
      <w:r w:rsidRPr="001A5CB0">
        <w:rPr>
          <w:rFonts w:ascii="Arial" w:eastAsia="Times New Roman" w:hAnsi="Arial"/>
          <w:b/>
          <w:bCs/>
          <w:sz w:val="20"/>
          <w:szCs w:val="20"/>
        </w:rPr>
        <w:t>. Diagram rozmieszczenia</w:t>
      </w:r>
      <w:bookmarkEnd w:id="2"/>
    </w:p>
    <w:p w14:paraId="76A35C58" w14:textId="77777777"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</w:pPr>
      <w:proofErr w:type="spellStart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Wa</w:t>
      </w: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t>rstw</w:t>
      </w: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t>y</w:t>
      </w:r>
      <w:proofErr w:type="spellEnd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t xml:space="preserve"> architektury</w:t>
      </w:r>
      <w:bookmarkEnd w:id="1"/>
    </w:p>
    <w:p w14:paraId="741AA53C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System Archiwum posiada architekturę wielowarstwową, oddzielając warstwę prezentacji od warstwy logiki biznesowej związanej z przetwarzaniem danych oraz  warstwy danych (baz danych) odpowiedzialnej za przechowywanie i udostępnianie informacji z baz danych lub plików. Poniższy rozdział definiuje warstwy wydzielone w zaproponowanej architekturze Systemu Archiwum. </w:t>
      </w:r>
    </w:p>
    <w:p w14:paraId="3D41E602" w14:textId="77777777"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3" w:name="_Toc303019212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dostępowa</w:t>
      </w:r>
      <w:bookmarkEnd w:id="3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 xml:space="preserve"> </w:t>
      </w:r>
    </w:p>
    <w:p w14:paraId="2421B44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architektury systemu, składająca się ze sprzętu i oprogramowania, odpowiadająca za zarządzanie przychodzącym ruchem sieciowym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frontend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oraz kierowaniem go do odpowiednich węzłów sieci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Konfiguracja usług udostępnianych przez oprogramowanie warstwy, umożliwia rozłożenie ruchu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), zapewniając krótsze czasy odpowiedzi aplikacji oraz minimalizując ryzyko przeładowania i niedostępności Systemu. Sposób rozkładu ruchu pomiędzy serwerami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jest realizowany na podstawie skonfigurowanego algorytmu komponentów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.</w:t>
      </w:r>
    </w:p>
    <w:p w14:paraId="3C0D70DE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dostępowa udostępnia usługi rozdziału obciążenia między elementy farmy serwerów aplikacyjnych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obsługujących aplikacje klasy Java EE, poprzez rozdzielanie strumienia żądań na węzły farmy serwerów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nodes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Usługi tej warstwy zapewniają również funkcjonalność rozkładu obciążenia sieciowego oraz przełączania używanego węzła w przypadku awarii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fail-over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).</w:t>
      </w:r>
    </w:p>
    <w:p w14:paraId="6AAFB828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dostępowa składa się z dwóch symetrycznych serwerów typu blade pracujących w klastrze Veritas Cluster w konfiguracji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active-passive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Serwery wykorzystują komponenty oprogramowania służące do rozładowywania obciążenia (oparte na JBOSS), obsługujące żądania napływające ze stacji klienckich, </w:t>
      </w:r>
      <w:r w:rsidRPr="001A5CB0">
        <w:rPr>
          <w:rFonts w:ascii="Times New Roman" w:eastAsia="Calibri" w:hAnsi="Times New Roman"/>
          <w:szCs w:val="24"/>
          <w:lang w:eastAsia="en-US"/>
        </w:rPr>
        <w:br/>
        <w:t xml:space="preserve">a skierowane do aplikacji uruchomionych w kontenerze serwerów Java EE w warstwie aplikacyjnej. </w:t>
      </w:r>
    </w:p>
    <w:p w14:paraId="7238C99E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Przy normalnej pracy Systemu tylko jeden z serwerów klastra warstwy dostępowej jest aktywny. W przypadku awarii podstawowego serwera klastra  oprogramowanie Veritas Cluster przeniesie adres IP usługi do węzła pasywnego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node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), uruchamiając na nim usługę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Od tego momentu wszystkie żądania ze stacji klienckich będą przechwytywane i obsługiwane przez drugi serwer (dotąd pasywny). Taka konfiguracja warstwy dostępowej zapewnia wysoką dostępność jej komponentów. </w:t>
      </w:r>
    </w:p>
    <w:p w14:paraId="079BB29B" w14:textId="77777777"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4" w:name="_Toc303019213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aplikacyjna</w:t>
      </w:r>
      <w:bookmarkEnd w:id="4"/>
    </w:p>
    <w:p w14:paraId="7B1F8FB0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 architekturze Systemu Archiwum warstwa aplikacyjna grupuje komponenty osadzone na serwerach aplikacyjnych. Warstwa ta składa się z dwóch powszechnie identyfikowanych warstw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architektur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wielowarstwowych tj.: warstwy prezentacji i warstwy logiki biznesowej.  </w:t>
      </w:r>
    </w:p>
    <w:p w14:paraId="04D859AA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Warstwa aplikacyjna składa się z serwerów stanowiących środowisko uruchomieniowe aplikacji Java EE. Zaprojektowana architektura zapewnia platformę aplikacyjną charakteryzującą się wysoką dostępnością, odpornością na błędy oraz sterowaniem rozkładem obciążenia (</w:t>
      </w:r>
      <w:r w:rsidRPr="001A5CB0">
        <w:rPr>
          <w:rFonts w:ascii="Times New Roman" w:eastAsia="Calibri" w:hAnsi="Times New Roman"/>
          <w:i/>
          <w:szCs w:val="24"/>
          <w:lang w:eastAsia="en-US"/>
        </w:rPr>
        <w:t xml:space="preserve">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</w:t>
      </w:r>
    </w:p>
    <w:p w14:paraId="7AF472A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Aplikacyjna jest  zbudowana w oparciu o farmę serwerów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Server. </w:t>
      </w:r>
    </w:p>
    <w:p w14:paraId="0EDF245F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Poprzez farmę rozumie się grupę identycznych serwerów do których dostęp jest realizowany za pomocą technologii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(w Systemie Archiwum funkcję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pełni klaster serwerów dedykowanych do wykonywania funkcji rozkładu obciążenia). Wszystkie serwery farmy są aktywne, </w:t>
      </w: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 xml:space="preserve">udostępniają ten sam zestaw usług i są w pełni wymienne między sobą.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dystrybuuje nadchodzące żądania pomiędzy serwery składające się na farmę. Farmy serwerów serwują wielowarstwowe aplikacje Java EE, charakteryzujące się scentralizowanym podejściem do przetwarzania (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process-centric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Logika przetwarzania komponentów tego typu nie ulega częstym zmianom, ułatwiając w przypadku wykorzystania farmy serwerów, utrzymanie zgodności wszystkich zainstalowanych usług. </w:t>
      </w:r>
    </w:p>
    <w:p w14:paraId="218310E1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Architektura z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LoadBalancerem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kierującym ruchem do i z serwerów farmy zapewnia większą niezawodność niż pojedynczy serwer o łącznej mocy serwerów farmy. W przypadku awarii któregoś z serwerów obciążenie jest</w:t>
      </w:r>
      <w:r w:rsidR="0009279B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automatycznie rozkładane na mniejszą ilość serwerów, ponieważ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automatycznie wykrywa awarię i przekierowuje żądania użytkowników do pozostałych serwerów utrzymując dostępność usługi. </w:t>
      </w:r>
    </w:p>
    <w:p w14:paraId="3C2B3C57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aplikacyjna obejmuje dwa rodzaje komponentów: </w:t>
      </w:r>
    </w:p>
    <w:p w14:paraId="61B69CB6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komponenty odpowiedzialne za interakcje z użytkownikiem tworzące </w:t>
      </w:r>
      <w:r w:rsidRPr="001A5CB0">
        <w:rPr>
          <w:rFonts w:ascii="Times New Roman" w:eastAsia="Calibri" w:hAnsi="Times New Roman"/>
          <w:b/>
          <w:szCs w:val="24"/>
          <w:lang w:eastAsia="en-US"/>
        </w:rPr>
        <w:t>warstwę prezentacji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, </w:t>
      </w:r>
    </w:p>
    <w:p w14:paraId="35A6DA6B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komponenty realizujące usługi i reguły tworzących </w:t>
      </w:r>
      <w:r w:rsidRPr="001A5CB0">
        <w:rPr>
          <w:rFonts w:ascii="Times New Roman" w:eastAsia="Calibri" w:hAnsi="Times New Roman"/>
          <w:b/>
          <w:szCs w:val="24"/>
          <w:lang w:eastAsia="en-US"/>
        </w:rPr>
        <w:t>warstwę logiki biznesowej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5D160EB7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323F6623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prezentacji Systemu Archiwum składa się z komponentów oprogramowania uruchomionych </w:t>
      </w:r>
      <w:r w:rsidR="0009279B">
        <w:rPr>
          <w:rFonts w:ascii="Times New Roman" w:eastAsia="Calibri" w:hAnsi="Times New Roman"/>
          <w:szCs w:val="24"/>
          <w:lang w:eastAsia="en-US"/>
        </w:rPr>
        <w:t>w 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kontenerze aplikacyjnym Java EE - platformie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Podstawowym komponentem realizującym zadania warstwy prezentacji jest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Engine i wchodząca w jego skład aplikacja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Workplace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wraz z opracowanymi przez </w:t>
      </w:r>
      <w:r w:rsidR="0009279B">
        <w:rPr>
          <w:rFonts w:ascii="Times New Roman" w:eastAsia="Calibri" w:hAnsi="Times New Roman"/>
          <w:szCs w:val="24"/>
          <w:lang w:eastAsia="en-US"/>
        </w:rPr>
        <w:t>W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ykonawcę Systemu modyfikacjami. Dodatkowym komponentem warstwy prezentacji będzie aplikacja skanująca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DokSkan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, składająca z dwóch elementów: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DokSkan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 Pro obsługująca Centralę i Oddziały Regionalne na wydzielonych stacjach skanujących oraz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WebSkan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 pozostałych jednostkach organizacyjnych.</w:t>
      </w:r>
    </w:p>
    <w:p w14:paraId="453E1685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logiki biznesowej Systemu Archiwum składa się z komponentów oprogramowania działających pod kontrolą serwera aplikacyjnego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Jej podstawowymi komponentami są: </w:t>
      </w:r>
    </w:p>
    <w:p w14:paraId="79F2C2EE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P8 Content Engine wraz z przygotowaną konfiguracją stanowiący bazowe oprogramowanie Systemu Archiwum, </w:t>
      </w:r>
    </w:p>
    <w:p w14:paraId="712D23C3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wytworzone komponenty integracyjne oraz wspierające usługi autentykacji,</w:t>
      </w:r>
    </w:p>
    <w:p w14:paraId="6BC1E10E" w14:textId="77777777" w:rsidR="006C6D70" w:rsidRDefault="001A5CB0" w:rsidP="001A5CB0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aplikacja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Workplace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 stanowiąca element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P8 Application Engine wraz</w:t>
      </w:r>
      <w:r w:rsidR="00AF3B61">
        <w:rPr>
          <w:rFonts w:ascii="Times New Roman" w:eastAsia="Calibri" w:hAnsi="Times New Roman"/>
          <w:szCs w:val="24"/>
          <w:lang w:eastAsia="en-US"/>
        </w:rPr>
        <w:t xml:space="preserve">                      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z modyfikacjami.</w:t>
      </w:r>
    </w:p>
    <w:p w14:paraId="07E3C19D" w14:textId="77777777" w:rsidR="00AF3B61" w:rsidRPr="00AF3B61" w:rsidRDefault="00AF3B61" w:rsidP="00AF3B61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47874A53" w14:textId="77777777"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5" w:name="_Toc303019216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danych</w:t>
      </w:r>
      <w:bookmarkEnd w:id="5"/>
    </w:p>
    <w:p w14:paraId="2C3B2506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zapewniająca dostęp do danych przechowywanych w pamięci stałej. W Systemie Archiwum pamięć stała jest realizowana za pomocą warstw: baz danych oraz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(warstwa macierzowa).  </w:t>
      </w:r>
    </w:p>
    <w:p w14:paraId="74082CF8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 xml:space="preserve">Warstwę danych Systemu Archiwum tworzy sprzęt i oprogramowanie służące do zapisu, odczytu i trwałego przechowywania danych Systemu tj. informacji zapisywanych w bazach danych oraz plików reprezentujących archiwizowane dokumenty. </w:t>
      </w:r>
    </w:p>
    <w:p w14:paraId="78B22578" w14:textId="77777777" w:rsidR="001A5CB0" w:rsidRPr="001A5CB0" w:rsidRDefault="001A5CB0" w:rsidP="00D416E4">
      <w:pPr>
        <w:keepNext/>
        <w:numPr>
          <w:ilvl w:val="2"/>
          <w:numId w:val="15"/>
        </w:numPr>
        <w:spacing w:after="200" w:line="276" w:lineRule="auto"/>
        <w:ind w:left="561" w:firstLine="6"/>
        <w:jc w:val="both"/>
        <w:outlineLvl w:val="2"/>
        <w:rPr>
          <w:rFonts w:ascii="Times New Roman" w:eastAsia="Times New Roman" w:hAnsi="Times New Roman"/>
          <w:b/>
          <w:color w:val="4D4D4D"/>
          <w:sz w:val="24"/>
          <w:szCs w:val="24"/>
        </w:rPr>
      </w:pPr>
      <w:bookmarkStart w:id="6" w:name="_Toc303019217"/>
      <w:r w:rsidRPr="001A5CB0">
        <w:rPr>
          <w:rFonts w:ascii="Times New Roman" w:eastAsia="Times New Roman" w:hAnsi="Times New Roman"/>
          <w:b/>
          <w:color w:val="4D4D4D"/>
          <w:sz w:val="24"/>
          <w:szCs w:val="24"/>
        </w:rPr>
        <w:t>Warstwa baz danych</w:t>
      </w:r>
      <w:bookmarkEnd w:id="6"/>
    </w:p>
    <w:p w14:paraId="655464B4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Warstwa składająca się z oprogramowania serwerowego zapewniającego odczyt i trwały zapis informacji w relacyjnych bazach danych.</w:t>
      </w:r>
    </w:p>
    <w:p w14:paraId="71A82DD2" w14:textId="77777777" w:rsidR="001A5CB0" w:rsidRPr="001A5CB0" w:rsidRDefault="001A5CB0" w:rsidP="001A5CB0">
      <w:pPr>
        <w:spacing w:after="200" w:line="276" w:lineRule="auto"/>
        <w:ind w:left="561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0"/>
          <w:lang w:eastAsia="en-US"/>
        </w:rPr>
        <w:t>Warstwa baz danych składa się ze sprzętu i oprogramowania tworzących platformę ORACLE 11g R2 RDBMS. Zarówno podstawowe jak i zapasowe środowisko Systemu składa się z dwóch serwerów z zainstalowanym oprogramowaniem ORACLE 11g R2 Standard Real Application Cluster (RAC). Użycie takiej konfiguracji zapewnia możliwość wyeliminowania pojedynczego punktu awarii na środowisku produkcyjnym.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5BF2C8B9" w14:textId="77777777" w:rsidR="001A5CB0" w:rsidRPr="001A5CB0" w:rsidRDefault="001A5CB0" w:rsidP="00D416E4">
      <w:pPr>
        <w:keepNext/>
        <w:numPr>
          <w:ilvl w:val="2"/>
          <w:numId w:val="15"/>
        </w:numPr>
        <w:spacing w:after="200" w:line="276" w:lineRule="auto"/>
        <w:ind w:left="561" w:firstLine="6"/>
        <w:jc w:val="both"/>
        <w:outlineLvl w:val="2"/>
        <w:rPr>
          <w:rFonts w:ascii="Times New Roman" w:eastAsia="Times New Roman" w:hAnsi="Times New Roman"/>
          <w:b/>
          <w:color w:val="4D4D4D"/>
          <w:sz w:val="24"/>
          <w:szCs w:val="24"/>
        </w:rPr>
      </w:pPr>
      <w:bookmarkStart w:id="7" w:name="_Toc303019218"/>
      <w:r w:rsidRPr="001A5CB0">
        <w:rPr>
          <w:rFonts w:ascii="Times New Roman" w:eastAsia="Times New Roman" w:hAnsi="Times New Roman"/>
          <w:b/>
          <w:color w:val="4D4D4D"/>
          <w:sz w:val="24"/>
          <w:szCs w:val="24"/>
        </w:rPr>
        <w:t xml:space="preserve">Warstwa </w:t>
      </w:r>
      <w:proofErr w:type="spellStart"/>
      <w:r w:rsidRPr="001A5CB0">
        <w:rPr>
          <w:rFonts w:ascii="Times New Roman" w:eastAsia="Times New Roman" w:hAnsi="Times New Roman"/>
          <w:b/>
          <w:i/>
          <w:color w:val="4D4D4D"/>
          <w:sz w:val="24"/>
          <w:szCs w:val="24"/>
        </w:rPr>
        <w:t>storage</w:t>
      </w:r>
      <w:bookmarkEnd w:id="7"/>
      <w:proofErr w:type="spellEnd"/>
    </w:p>
    <w:p w14:paraId="0C0B4FBB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składająca się z narzędzi i oprogramowania służących do zapisu i odczytu plików z trwałych nośników informacji. </w:t>
      </w:r>
    </w:p>
    <w:p w14:paraId="28FE6957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składa się ze sprzętu i oprogramowania zapewniającego usługi trwałego przechowywania plików, udostępniana dla komponentów środowiska produkcyjnego. Warstwa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składa się z:</w:t>
      </w:r>
    </w:p>
    <w:p w14:paraId="431BEF1E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ind w:left="128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infrastruktury SAN opartej na technologii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Fibre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Channel 8Gbit </w:t>
      </w:r>
    </w:p>
    <w:p w14:paraId="21B13ACD" w14:textId="77777777" w:rsidR="001A5CB0" w:rsidRPr="001A5CB0" w:rsidRDefault="001A5CB0" w:rsidP="00D416E4">
      <w:pPr>
        <w:numPr>
          <w:ilvl w:val="0"/>
          <w:numId w:val="17"/>
        </w:numPr>
        <w:spacing w:after="200" w:line="276" w:lineRule="auto"/>
        <w:ind w:left="128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macierzy dyskowych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NetApp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.</w:t>
      </w:r>
    </w:p>
    <w:p w14:paraId="27298957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NetApp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skonfigurowano zapewniając ciągłą replikację danych na poziomie bloków danych. Dane są replikowane na tej samej klasy urządzenie zlokalizowane w centrum zapasowym (BDC). W przypadku awarii urządzenia w centrum podstawowym przetwarzanie będzie wykonywane w oparciu o dane zgromadzone w centrum zapasowym. </w:t>
      </w:r>
    </w:p>
    <w:p w14:paraId="7F86914A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</w:p>
    <w:p w14:paraId="6880B70C" w14:textId="77777777"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</w:p>
    <w:p w14:paraId="2CFB283E" w14:textId="77777777"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</w:pP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Środowiska Systemu</w:t>
      </w:r>
    </w:p>
    <w:p w14:paraId="3A43A70B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składa się z trzech środowisk:</w:t>
      </w:r>
    </w:p>
    <w:p w14:paraId="506C26A3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produkcyjne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Production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Environment),</w:t>
      </w:r>
    </w:p>
    <w:p w14:paraId="60132CA8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zapasowe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(Backup Environment),</w:t>
      </w:r>
    </w:p>
    <w:p w14:paraId="5AA50305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testowe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(Test Environment).</w:t>
      </w:r>
    </w:p>
    <w:p w14:paraId="0771B66E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Środowisko produkcyjne jest zlokalizowane w Podstawowym Centrum Przetwarzania (PDC). Środowisko zapasowe (również przechowujące dane produkcyjne) zostało zainstalowane w Zapasowym Centrum Przetwarzana (BDC). Środowisko Testowe zlokalizowano w Zapasowym Centrum Przetwarzania. Środowisko Zapasowe współdzieli infrastrukturę Backup LAN oraz Backup SAN wraz z macierzą dyskową środowiska Backup.</w:t>
      </w:r>
    </w:p>
    <w:p w14:paraId="307044BF" w14:textId="77777777"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8" w:name="_Toc303019220"/>
      <w:bookmarkStart w:id="9" w:name="_Toc303019219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Środowisko Produkcyjne: ośrodek PDC</w:t>
      </w:r>
      <w:bookmarkEnd w:id="8"/>
    </w:p>
    <w:p w14:paraId="5E0A225C" w14:textId="77777777" w:rsidR="001A5CB0" w:rsidRPr="00A15558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i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Podstawowe środowisko produkcyjne Systemu składać się będzie z 9 serwerów typu blade IBM HS22 wraz z osprzętem sieciowym, infrastrukturą techniczną (szafy RACK,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BladeChasis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oraz macierzami dyskowymi. Poniższa tabela przedstawia listę serwerów wraz z pełnioną funkcją oraz zainstalowanym </w:t>
      </w:r>
      <w:r w:rsidRPr="00A15558">
        <w:rPr>
          <w:rFonts w:ascii="Times New Roman" w:eastAsia="Calibri" w:hAnsi="Times New Roman"/>
          <w:szCs w:val="24"/>
          <w:lang w:eastAsia="en-US"/>
        </w:rPr>
        <w:t>oprogramowaniem.</w:t>
      </w:r>
      <w:r w:rsidRPr="00A15558">
        <w:rPr>
          <w:rFonts w:ascii="Times New Roman" w:eastAsia="Calibri" w:hAnsi="Times New Roman"/>
          <w:i/>
          <w:szCs w:val="24"/>
          <w:lang w:eastAsia="en-US"/>
        </w:rPr>
        <w:t xml:space="preserve"> </w:t>
      </w:r>
    </w:p>
    <w:p w14:paraId="45D50E7F" w14:textId="024BD671" w:rsidR="001A5CB0" w:rsidRPr="00A15558" w:rsidRDefault="001A5CB0" w:rsidP="001A5CB0">
      <w:pPr>
        <w:keepNext/>
        <w:spacing w:after="0" w:line="276" w:lineRule="auto"/>
        <w:rPr>
          <w:rFonts w:ascii="Times New Roman" w:eastAsia="Times New Roman" w:hAnsi="Times New Roman"/>
          <w:b/>
          <w:bCs/>
          <w:i/>
        </w:rPr>
      </w:pPr>
      <w:r w:rsidRPr="00A15558">
        <w:rPr>
          <w:rFonts w:ascii="Times New Roman" w:eastAsia="Times New Roman" w:hAnsi="Times New Roman"/>
          <w:b/>
          <w:bCs/>
          <w:i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noProof/>
        </w:rPr>
        <w:t>1</w:t>
      </w:r>
      <w:r w:rsidRPr="00A15558">
        <w:rPr>
          <w:rFonts w:ascii="Times New Roman" w:eastAsia="Times New Roman" w:hAnsi="Times New Roman"/>
          <w:b/>
          <w:bCs/>
          <w:i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</w:rPr>
        <w:t>. Lista serwerów PDC</w:t>
      </w:r>
    </w:p>
    <w:tbl>
      <w:tblPr>
        <w:tblW w:w="0" w:type="auto"/>
        <w:jc w:val="center"/>
        <w:tblLayout w:type="fixed"/>
        <w:tblLook w:val="0020" w:firstRow="1" w:lastRow="0" w:firstColumn="0" w:lastColumn="0" w:noHBand="0" w:noVBand="0"/>
      </w:tblPr>
      <w:tblGrid>
        <w:gridCol w:w="1567"/>
        <w:gridCol w:w="7391"/>
      </w:tblGrid>
      <w:tr w:rsidR="001A5CB0" w:rsidRPr="001A5CB0" w14:paraId="71FB948B" w14:textId="77777777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08080"/>
            <w:vAlign w:val="bottom"/>
          </w:tcPr>
          <w:p w14:paraId="1999E745" w14:textId="77777777" w:rsidR="001A5CB0" w:rsidRPr="00A15558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highlight w:val="lightGray"/>
                <w:lang w:val="en-US" w:eastAsia="en-US"/>
              </w:rPr>
            </w:pPr>
            <w:proofErr w:type="spellStart"/>
            <w:r w:rsidRPr="00A15558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lightGray"/>
                <w:lang w:val="en-US" w:eastAsia="en-US"/>
              </w:rPr>
              <w:t>Etykiety</w:t>
            </w:r>
            <w:proofErr w:type="spellEnd"/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404A0055" w14:textId="77777777" w:rsidR="001A5CB0" w:rsidRPr="00A15558" w:rsidRDefault="001A5CB0" w:rsidP="00A15558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highlight w:val="lightGray"/>
                <w:lang w:val="en-US" w:eastAsia="en-US"/>
              </w:rPr>
            </w:pPr>
            <w:proofErr w:type="spellStart"/>
            <w:r w:rsidRPr="00A15558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lightGray"/>
                <w:lang w:val="en-US" w:eastAsia="en-US"/>
              </w:rPr>
              <w:t>Zainstalowane</w:t>
            </w:r>
            <w:proofErr w:type="spellEnd"/>
            <w:r w:rsidRPr="00A15558">
              <w:rPr>
                <w:rFonts w:ascii="Times New Roman" w:eastAsia="Calibri" w:hAnsi="Times New Roman"/>
                <w:b/>
                <w:sz w:val="18"/>
                <w:szCs w:val="18"/>
                <w:highlight w:val="lightGray"/>
                <w:lang w:eastAsia="en-US"/>
              </w:rPr>
              <w:t xml:space="preserve"> oprogramowanie</w:t>
            </w:r>
          </w:p>
        </w:tc>
      </w:tr>
      <w:tr w:rsidR="001A5CB0" w:rsidRPr="001A5CB0" w14:paraId="096C671C" w14:textId="77777777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B7E864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ARC-PLB1, ARC-PLB2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F1BC97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14:paraId="17DCB730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14:paraId="72B5FEA2" w14:textId="77777777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14:paraId="1EBC594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AB9531B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</w:tc>
      </w:tr>
      <w:tr w:rsidR="001A5CB0" w:rsidRPr="001A5CB0" w14:paraId="19B374CC" w14:textId="77777777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AF6862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85AFBA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Load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Balancer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Module</w:t>
            </w:r>
          </w:p>
        </w:tc>
      </w:tr>
      <w:tr w:rsidR="001A5CB0" w:rsidRPr="001A5CB0" w14:paraId="7074E790" w14:textId="77777777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4948443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ARC-PAS1, ARC-PAS2, ARC-PAS3, ARC-PAS4</w:t>
            </w:r>
          </w:p>
          <w:p w14:paraId="20A2C320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1F2472BA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45203B7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14:paraId="69655B85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14:paraId="1F8011C0" w14:textId="77777777" w:rsidTr="001A5CB0">
        <w:trPr>
          <w:trHeight w:val="261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14:paraId="4FE46EE1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97E996A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  <w:p w14:paraId="58D02BA8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Content Engine 5.0.0</w:t>
            </w:r>
          </w:p>
          <w:p w14:paraId="4527B60E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P8 Documentation 5.0.0</w:t>
            </w:r>
          </w:p>
        </w:tc>
      </w:tr>
      <w:tr w:rsidR="001A5CB0" w:rsidRPr="001A5CB0" w14:paraId="34852A76" w14:textId="77777777" w:rsidTr="001A5CB0">
        <w:trPr>
          <w:trHeight w:val="32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F35C45A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BA5CC1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Application Engine 4.0.2</w:t>
            </w:r>
          </w:p>
        </w:tc>
      </w:tr>
      <w:tr w:rsidR="001A5CB0" w:rsidRPr="001A5CB0" w14:paraId="19DA01E0" w14:textId="77777777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3BABC3E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ARC-PDB1,</w:t>
            </w: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br/>
              <w:t>ARC-PDB2</w:t>
            </w:r>
          </w:p>
          <w:p w14:paraId="5DD48C62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14:paraId="3E1A812A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trike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14:paraId="05E58E01" w14:textId="77777777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14:paraId="5B86AB24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6069D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SnapDrive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for Unix</w:t>
            </w:r>
          </w:p>
          <w:p w14:paraId="05C8DD7C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SnapMirror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</w:p>
        </w:tc>
      </w:tr>
      <w:tr w:rsidR="001A5CB0" w:rsidRPr="001A5CB0" w14:paraId="1A857CC2" w14:textId="77777777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14:paraId="5285796E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5904C3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SnapManager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for Oracle</w:t>
            </w:r>
          </w:p>
          <w:p w14:paraId="6BC909AF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Oracle Database Standard Edition 11g R2 RAC (Real Application Cluster)</w:t>
            </w:r>
          </w:p>
        </w:tc>
      </w:tr>
      <w:tr w:rsidR="001A5CB0" w:rsidRPr="001A5CB0" w14:paraId="1ECCB804" w14:textId="77777777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0E0FCD76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F49D713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14:paraId="3010D583" w14:textId="77777777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14:paraId="2EBC2933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ARC-PBCK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8568C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Tivoli Storage Manager Extended Edition 6.2</w:t>
            </w:r>
          </w:p>
        </w:tc>
      </w:tr>
      <w:tr w:rsidR="001A5CB0" w:rsidRPr="001A5CB0" w14:paraId="7331D301" w14:textId="77777777" w:rsidTr="001A5CB0">
        <w:trPr>
          <w:trHeight w:val="80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0DBBFCF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5A2B0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Cristie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TBMR for Tivoli Storage Manager</w:t>
            </w:r>
          </w:p>
        </w:tc>
      </w:tr>
    </w:tbl>
    <w:p w14:paraId="5978CC4A" w14:textId="77777777" w:rsidR="001A5CB0" w:rsidRPr="001A5CB0" w:rsidRDefault="001A5CB0" w:rsidP="001A5CB0">
      <w:pPr>
        <w:spacing w:after="200" w:line="276" w:lineRule="auto"/>
        <w:jc w:val="both"/>
        <w:rPr>
          <w:rFonts w:ascii="Arial" w:eastAsia="Calibri" w:hAnsi="Arial" w:cs="Arial"/>
          <w:szCs w:val="24"/>
          <w:lang w:val="en-US" w:eastAsia="en-US"/>
        </w:rPr>
      </w:pPr>
    </w:p>
    <w:p w14:paraId="0A4227B3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26F9B853" w14:textId="77777777"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 xml:space="preserve">W poniższych tabelach zamieszczono szczegółowe zestawienie sprzętu zainstalowanego </w:t>
      </w:r>
      <w:r w:rsidR="00AF3B61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1A5CB0">
        <w:rPr>
          <w:rFonts w:ascii="Times New Roman" w:eastAsia="Times New Roman" w:hAnsi="Times New Roman"/>
          <w:sz w:val="24"/>
          <w:szCs w:val="24"/>
        </w:rPr>
        <w:t>w Ośrodku Podstawowym.</w:t>
      </w:r>
    </w:p>
    <w:p w14:paraId="552107C4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6F33CC35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312DFD93" w14:textId="104438A3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2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Obudowa IBM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BladeCenter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73EAADC9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4C65AEA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IBM </w:t>
            </w: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3xGE i 2xFC </w:t>
            </w:r>
          </w:p>
        </w:tc>
      </w:tr>
      <w:tr w:rsidR="001A5CB0" w:rsidRPr="001A5CB0" w14:paraId="6787F4B9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D19E5C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591544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35AA566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082FB62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5C43FA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88524TG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CB2A2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eServer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(tm) H Chassis with 2x2980W PSU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1D32B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D5C63B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96BD30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68Y6601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88AA93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H 2980W AC Power Modules w/Fan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8AE41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0B24A6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C6B951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32R1860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43733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Layer 2/3 Copper Gb Ethernet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A6DE7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2C4F2AC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2DC7DC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39Y9314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FD2E00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Multi-Switch Interconnect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E9B84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E6F0EC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428C37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AE0C99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8 Gb SFP+ SW Optical Transceiver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A343D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78571DD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5961F6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B3EFCE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20-port 8 Gb SAN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79A90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D7DDD1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12134F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2019A1X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1FAFDC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KVM/Advanced Management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E62DF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D671B5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0982B2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46M0902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BB4E0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UltraSlim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Enhanced SATA Multi-Burner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4AE4A5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DF07BA2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78FA3E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25R5785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8EC41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2.8m, 200-240V, Triple 16A IEC 320-C20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052F3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3DC3FA66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14:paraId="226A0155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57C1F165" w14:textId="77777777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</w:p>
    <w:p w14:paraId="46568F86" w14:textId="174D0A11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3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="0009279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Serwery 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Podstawowym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2DC907E9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01CCEDB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Serwery aplikacyjne </w:t>
            </w:r>
          </w:p>
        </w:tc>
      </w:tr>
      <w:tr w:rsidR="001A5CB0" w:rsidRPr="001A5CB0" w14:paraId="6299FF51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14413B7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593B34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E5088B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155C0B8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8E4A5A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6B4191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325E6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048EF17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73314C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B1153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87FA0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5C0567C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AD190A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4A6781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5A9B5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1A5CB0" w:rsidRPr="001A5CB0" w14:paraId="6D6BAEA2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66A8EE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9702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FD35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1A5CB0" w:rsidRPr="001A5CB0" w14:paraId="60D0F4E2" w14:textId="77777777" w:rsidTr="001A5CB0">
        <w:trPr>
          <w:trHeight w:val="288"/>
          <w:jc w:val="center"/>
        </w:trPr>
        <w:tc>
          <w:tcPr>
            <w:tcW w:w="1060" w:type="dxa"/>
          </w:tcPr>
          <w:p w14:paraId="57176A9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386233A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2A6431A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3FD18F5A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4B4F648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Serwery bazodanowe</w:t>
            </w:r>
          </w:p>
        </w:tc>
      </w:tr>
      <w:tr w:rsidR="001A5CB0" w:rsidRPr="001A5CB0" w14:paraId="12171D5D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65753B8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5D7956A0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12FD14E4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3F4D2C0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BCE248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7870F3G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5CC55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X5677 130W 3.46GHz/1333MHz/12MB,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0B29B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AB3E8F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9EBF6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B2137A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X5677 130W 3.46GHz/1333MHz/12MB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617AE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77E391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2FD6D2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F50483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8GB (1x8GB, 2Rx4, 1.35V)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5EEDC1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1A5CB0" w:rsidRPr="001A5CB0" w14:paraId="35C665F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061264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A068CD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55270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6F931171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741D62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226F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5E529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3E434547" w14:textId="77777777" w:rsidTr="001A5CB0">
        <w:trPr>
          <w:trHeight w:val="288"/>
          <w:jc w:val="center"/>
        </w:trPr>
        <w:tc>
          <w:tcPr>
            <w:tcW w:w="1060" w:type="dxa"/>
          </w:tcPr>
          <w:p w14:paraId="78110AC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40D7F99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388E183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769BF2EB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35C58C16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Load-balancery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14:paraId="1ECD8035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57C313C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71DAEDF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76E73447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312CC0B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BC20D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844725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4E2F06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4605C5B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CE9C92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D7B2F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FA867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7A1ECEE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67FF88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66EC34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45C83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686BEA33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AF372F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8E56D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6E35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1C02E7F3" w14:textId="77777777" w:rsidTr="001A5CB0">
        <w:trPr>
          <w:trHeight w:val="288"/>
          <w:jc w:val="center"/>
        </w:trPr>
        <w:tc>
          <w:tcPr>
            <w:tcW w:w="1060" w:type="dxa"/>
          </w:tcPr>
          <w:p w14:paraId="0F049AD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3EB41A2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E5CC01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741C50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12FE6B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05B2160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46F5AE2D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368928F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 backupu </w:t>
            </w:r>
          </w:p>
        </w:tc>
      </w:tr>
      <w:tr w:rsidR="001A5CB0" w:rsidRPr="001A5CB0" w14:paraId="0C992D74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5A27C66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42F2E68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7B83DBEE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17C672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B71758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AB5E92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BF1B0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970847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C8E494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99E7AF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2GB (1x2GB, 1Rx8, 1.5V)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E042D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1A5CB0" w:rsidRPr="001A5CB0" w14:paraId="7C08B25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96FE7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7AD9D6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7D829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E9B7BD5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4AE0C9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24FE9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8316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1DEA5E31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0"/>
          <w:szCs w:val="20"/>
        </w:rPr>
      </w:pPr>
    </w:p>
    <w:p w14:paraId="432C400A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13A188FE" w14:textId="4F8B4F03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4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Biblioteka taśmowa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27C861EF" w14:textId="77777777" w:rsidTr="001A5CB0">
        <w:trPr>
          <w:trHeight w:val="276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3711251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Tape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Library TS3200 </w:t>
            </w:r>
          </w:p>
        </w:tc>
      </w:tr>
      <w:tr w:rsidR="001A5CB0" w:rsidRPr="001A5CB0" w14:paraId="45553315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4D61D65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D69344E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808669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3D537AF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095803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35734UL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265E60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TS3200 Tape Library Model L4U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Driveless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35643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21046F8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6A1F4E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23R7262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3E311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3573 Additional Power Supply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ED348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D2059E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237D4D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95P5004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EC9EB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4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A92645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17FBEC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2626A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23R6998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BA664F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3573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7BE7F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B58225B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CC6F1B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45E9503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735063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Path Failover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3CB0D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2838DE3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F2AF47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95P4278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DF2742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4 Data Cartridges (5 pack)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95E784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1A5CB0" w:rsidRPr="001A5CB0" w14:paraId="7AF498E5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8B0993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23R7008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30BF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Cleaning Cartridge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1F61B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149A8D38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0"/>
          <w:szCs w:val="20"/>
        </w:rPr>
      </w:pPr>
    </w:p>
    <w:p w14:paraId="082852EC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0E01D658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7788A0B1" w14:textId="6BD63EB6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5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Szafa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rack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6E9A5679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4F89A56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14:paraId="214EBE9E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31F450CD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4CC913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6EC463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CC4BEF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4F378E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93084PX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B7331E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IBM 42U Enterprise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4D626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5AA4DF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2DFEB3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172317X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350829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17in Flat Panel Monitor Console Kit w/o keyboard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AF99C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8CF311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17ECAB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40K5400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8328B5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Keyboard with Integrated Pointing Device- 3m Cable - Black - USB - US Euro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196F4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5912D4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F9A223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39Y8952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7200F1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DPI Universal Rack PDU (Europe)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EFE78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6F9D49F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D821E5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 xml:space="preserve">39Y8948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3D194A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C19 Enterprise PDU w/o Line Cord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41210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C8C901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02B273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40K9611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28CB33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32a Cord (IEC 309 3P+N+G)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C401F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64C7B8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781B91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25R5559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A5D02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2EBE6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017398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F2A829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CE0B15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FF882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66986A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607B9F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446013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175966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1GB/10GB G8000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for IBM System 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18330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401784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960887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46C3417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760337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G8000 Dual-port SFP+ XGE Uplink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A34E5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3D2E95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7714F9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59Y1932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106DBA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0.5m Molex Direct Attach Copper SFP+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2544F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7A5F359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D4F220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39M5697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FDA05F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5m Fiber Optic Cable LC-LC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23CC3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6F30F444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97141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24"/>
              </w:rPr>
              <w:t> 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A2EC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BLADE 1000Base-LX SFP Transceiver BN-CKM-S-LX (Avnet)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1C7F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4417D4FB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615279D2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341868EC" w14:textId="5E30E070" w:rsidR="001A5CB0" w:rsidRPr="002F3754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6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Macierz dyskowa w Ośrodku Podstawowym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26134F7A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277DF456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Macierz IBM N6040</w:t>
            </w:r>
          </w:p>
        </w:tc>
      </w:tr>
      <w:tr w:rsidR="001A5CB0" w:rsidRPr="001A5CB0" w14:paraId="11B05022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4DDCB2B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6C0130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1A7E95D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282A982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3FED66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2858-A20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752F0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N6040 Model A20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98E23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545FF5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1B803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B12570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2-Port 8-Gbps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PCIe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Target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A0B4D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32FB362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61434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36008F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FC cable, 50u, 31m, LC/LC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44A85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5B9027BB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A59252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8F2F85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4-Port 3-Gbps SAS Adapter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2F3EF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458ED31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451172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5F16A4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86704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E454CB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34453F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F5649A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546F7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118E30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39C3D7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BEF520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2BA9A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704BD77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2C98E0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95B901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B4B15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BED063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BE523B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097369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SyncMirror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16DB6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9BCBAA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F146FE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7474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E16D24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SAN Bundle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8DDF4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22DB4A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8519AA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7475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DA7719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iSCSI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Protocol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BD247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2E341C0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E77BA4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7481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318F8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NearStore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5B28A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544F72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0245F1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7482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6186D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Deduplication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7EE5D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0459EB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1CA388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7495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5E891E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63311F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B51E66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9E6350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F8D655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E75E15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A94004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000A83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41A1D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EB868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DC785E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ADC19A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8D0344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71FB6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0793D7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A699C3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9557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9A5F4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Num. of FC Target Ports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458E8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375D7879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38AE9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8EA9F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Dual-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path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FC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Cabling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1AB9F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F9E76D0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17E38CD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SAS</w:t>
            </w:r>
          </w:p>
        </w:tc>
      </w:tr>
      <w:tr w:rsidR="001A5CB0" w:rsidRPr="001A5CB0" w14:paraId="0F174A9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D40BC3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hideMark/>
          </w:tcPr>
          <w:p w14:paraId="47815BB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A8CEE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FE9571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B9468C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6220" w:type="dxa"/>
            <w:hideMark/>
          </w:tcPr>
          <w:p w14:paraId="57856F4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SAS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disk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power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supply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0B5C8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B7C057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BE37F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6220" w:type="dxa"/>
            <w:hideMark/>
          </w:tcPr>
          <w:p w14:paraId="6D74C95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5C7ED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3FA4E1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FEA282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6220" w:type="dxa"/>
            <w:hideMark/>
          </w:tcPr>
          <w:p w14:paraId="15143BE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4B334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71DEE61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493479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6220" w:type="dxa"/>
            <w:hideMark/>
          </w:tcPr>
          <w:p w14:paraId="212D2C6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300 GB SAS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0DB4D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0DB5869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F2D8EE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hideMark/>
          </w:tcPr>
          <w:p w14:paraId="61CFA3F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D1D3C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6F47661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7F8B22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hideMark/>
          </w:tcPr>
          <w:p w14:paraId="6AD792E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B2C8B9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A3D2D92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0B6E1C37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14:paraId="15484EA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809E75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hideMark/>
          </w:tcPr>
          <w:p w14:paraId="6EFDFD3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E8927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4A7D8E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1FD371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6220" w:type="dxa"/>
            <w:hideMark/>
          </w:tcPr>
          <w:p w14:paraId="3A36C3C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013DA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4DDF0D3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392BE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6220" w:type="dxa"/>
            <w:hideMark/>
          </w:tcPr>
          <w:p w14:paraId="2A56EF4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272C6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23C42B1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10AA76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4021</w:t>
            </w:r>
          </w:p>
        </w:tc>
        <w:tc>
          <w:tcPr>
            <w:tcW w:w="6220" w:type="dxa"/>
            <w:hideMark/>
          </w:tcPr>
          <w:p w14:paraId="10C4417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10CE3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</w:t>
            </w:r>
          </w:p>
        </w:tc>
      </w:tr>
      <w:tr w:rsidR="001A5CB0" w:rsidRPr="001A5CB0" w14:paraId="677EDD6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7B5494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hideMark/>
          </w:tcPr>
          <w:p w14:paraId="40C8E64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38436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E6A7FF6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9006C3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hideMark/>
          </w:tcPr>
          <w:p w14:paraId="7043815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C5FC3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C817987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26BBC50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Licencje</w:t>
            </w:r>
          </w:p>
        </w:tc>
      </w:tr>
      <w:tr w:rsidR="001A5CB0" w:rsidRPr="001A5CB0" w14:paraId="697DED8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E1FF26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2870-582 </w:t>
            </w:r>
          </w:p>
        </w:tc>
        <w:tc>
          <w:tcPr>
            <w:tcW w:w="6220" w:type="dxa"/>
            <w:hideMark/>
          </w:tcPr>
          <w:p w14:paraId="0AA43D4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N6040 Licensed Functions 582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CEB18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2734E0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F0EFBB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6850</w:t>
            </w:r>
          </w:p>
        </w:tc>
        <w:tc>
          <w:tcPr>
            <w:tcW w:w="6220" w:type="dxa"/>
            <w:hideMark/>
          </w:tcPr>
          <w:p w14:paraId="1CDB458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06AEF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A773AB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C84B4D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6220" w:type="dxa"/>
            <w:hideMark/>
          </w:tcPr>
          <w:p w14:paraId="7A1A573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910B9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7BB6D8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B14263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6220" w:type="dxa"/>
            <w:hideMark/>
          </w:tcPr>
          <w:p w14:paraId="3F0A09F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2DB66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03224C7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C6695D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8FF86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88AC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2EB9D09E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</w:rPr>
      </w:pPr>
    </w:p>
    <w:p w14:paraId="29850D93" w14:textId="77777777"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70668183" w14:textId="77777777"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</w:pPr>
      <w:bookmarkStart w:id="10" w:name="_Toc303019221"/>
      <w:r w:rsidRPr="001A5CB0"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  <w:t>Środowisko Produkcyjne (zapasowe): ośrodek BDC</w:t>
      </w:r>
      <w:bookmarkEnd w:id="10"/>
    </w:p>
    <w:p w14:paraId="278378E0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Zapasowe środowisko produkcyjne Systemu składa się z 6 serwerów typu blade IBM HS22 wraz z osprzętem sieciowym, infrastrukturą techniczną (szafy RACK, Blade Chassis) oraz macierzami dyskowymi. Środowisko zapasowe będzie równoważne funkcjonalnie, będzie się różnić udostępnianą mocą obliczeniową. Poniższa tabela przedstawia listę serwerów wraz z pełnioną funkcją oraz zainstalowanym oprogramowaniem.</w:t>
      </w:r>
    </w:p>
    <w:p w14:paraId="79C0EDA2" w14:textId="77777777" w:rsidR="001A5CB0" w:rsidRPr="001A5CB0" w:rsidRDefault="001A5CB0" w:rsidP="001A5CB0">
      <w:pPr>
        <w:keepNext/>
        <w:spacing w:after="0" w:line="276" w:lineRule="auto"/>
        <w:rPr>
          <w:rFonts w:ascii="Arial" w:eastAsia="Times New Roman" w:hAnsi="Arial"/>
          <w:b/>
          <w:bCs/>
          <w:sz w:val="20"/>
          <w:szCs w:val="20"/>
        </w:rPr>
      </w:pPr>
    </w:p>
    <w:p w14:paraId="79694BE5" w14:textId="77777777" w:rsidR="001A5CB0" w:rsidRPr="00A15558" w:rsidRDefault="001A5CB0" w:rsidP="001A5CB0">
      <w:pPr>
        <w:keepNext/>
        <w:spacing w:after="0" w:line="276" w:lineRule="auto"/>
        <w:rPr>
          <w:rFonts w:ascii="Times New Roman" w:eastAsia="Times New Roman" w:hAnsi="Times New Roman"/>
          <w:b/>
          <w:bCs/>
          <w:i/>
        </w:rPr>
      </w:pPr>
      <w:r w:rsidRPr="00A15558">
        <w:rPr>
          <w:rFonts w:ascii="Times New Roman" w:eastAsia="Times New Roman" w:hAnsi="Times New Roman"/>
          <w:b/>
          <w:bCs/>
          <w:i/>
        </w:rPr>
        <w:t>Tabela 7 Lista serwerów BDC</w:t>
      </w:r>
    </w:p>
    <w:tbl>
      <w:tblPr>
        <w:tblW w:w="0" w:type="auto"/>
        <w:jc w:val="center"/>
        <w:tblLayout w:type="fixed"/>
        <w:tblLook w:val="0020" w:firstRow="1" w:lastRow="0" w:firstColumn="0" w:lastColumn="0" w:noHBand="0" w:noVBand="0"/>
      </w:tblPr>
      <w:tblGrid>
        <w:gridCol w:w="1567"/>
        <w:gridCol w:w="7391"/>
      </w:tblGrid>
      <w:tr w:rsidR="001A5CB0" w:rsidRPr="001A5CB0" w14:paraId="413078FB" w14:textId="77777777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08080"/>
            <w:vAlign w:val="bottom"/>
          </w:tcPr>
          <w:p w14:paraId="57918DB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color w:val="FFFFFF"/>
                <w:sz w:val="18"/>
                <w:szCs w:val="18"/>
                <w:lang w:val="en-US" w:eastAsia="en-US"/>
              </w:rPr>
              <w:t>Etykiety</w:t>
            </w:r>
            <w:proofErr w:type="spellEnd"/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14:paraId="05F5C91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color w:val="FFFFFF"/>
                <w:sz w:val="18"/>
                <w:szCs w:val="18"/>
                <w:lang w:eastAsia="en-US"/>
              </w:rPr>
              <w:t xml:space="preserve">Zainstalowane oprogramowanie </w:t>
            </w:r>
          </w:p>
        </w:tc>
      </w:tr>
      <w:tr w:rsidR="001A5CB0" w:rsidRPr="001A5CB0" w14:paraId="78506F87" w14:textId="77777777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B9E182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ARC-BLB1, ARC-BLB2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11DB1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14:paraId="770E3D3E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14:paraId="5A0E8CA3" w14:textId="77777777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14:paraId="40D37F8F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D171FC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</w:tc>
      </w:tr>
      <w:tr w:rsidR="001A5CB0" w:rsidRPr="001A5CB0" w14:paraId="03D4870A" w14:textId="77777777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B363CFA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CE350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Load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Balancer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Module</w:t>
            </w:r>
          </w:p>
        </w:tc>
      </w:tr>
      <w:tr w:rsidR="001A5CB0" w:rsidRPr="001A5CB0" w14:paraId="6902EE51" w14:textId="77777777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B4D411C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ARC-BAS1, ARC-BAS2,</w:t>
            </w: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  <w:p w14:paraId="2DC784AC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A39887C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14:paraId="6C35DA41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14:paraId="2CE312BC" w14:textId="77777777" w:rsidTr="001A5CB0">
        <w:trPr>
          <w:trHeight w:val="261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14:paraId="307D7943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A1BF07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  <w:p w14:paraId="502A5884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Content Engine 5.0.0</w:t>
            </w:r>
          </w:p>
          <w:p w14:paraId="0392AC27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P8 Documentation 5.0.0</w:t>
            </w:r>
          </w:p>
        </w:tc>
      </w:tr>
      <w:tr w:rsidR="001A5CB0" w:rsidRPr="001A5CB0" w14:paraId="05B2A7D6" w14:textId="77777777" w:rsidTr="001A5CB0">
        <w:trPr>
          <w:trHeight w:val="32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E52837A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8A963E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Application Engine 4.0.2</w:t>
            </w:r>
          </w:p>
        </w:tc>
      </w:tr>
      <w:tr w:rsidR="001A5CB0" w:rsidRPr="001A5CB0" w14:paraId="3C7BB190" w14:textId="77777777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1DD7204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ARC-BDB1,</w:t>
            </w: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br/>
              <w:t>ARC-BDB2</w:t>
            </w:r>
          </w:p>
          <w:p w14:paraId="176BE2EA" w14:textId="77777777"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14:paraId="20ECEE3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trike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14:paraId="64399FF8" w14:textId="77777777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14:paraId="7057A545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6C3E9A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SnapDrive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for Unix</w:t>
            </w:r>
          </w:p>
          <w:p w14:paraId="6CAA8192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SnapMirror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</w:p>
        </w:tc>
      </w:tr>
      <w:tr w:rsidR="001A5CB0" w:rsidRPr="001A5CB0" w14:paraId="733C0071" w14:textId="77777777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1BAD685" w14:textId="77777777"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C47599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SnapManager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for Oracle</w:t>
            </w:r>
          </w:p>
          <w:p w14:paraId="56E03AC8" w14:textId="77777777"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Oracle Database Standard Edition 11g R2 RAC (Real Application Cluster)</w:t>
            </w:r>
          </w:p>
        </w:tc>
      </w:tr>
    </w:tbl>
    <w:p w14:paraId="5FE9DD92" w14:textId="77777777"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14:paraId="29E600E2" w14:textId="77777777"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 xml:space="preserve">W poniższych tabelach zamieszczono szczegółowe zestawienie sprzętu zainstalowanego </w:t>
      </w:r>
      <w:r w:rsidR="00AF3B61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1A5CB0">
        <w:rPr>
          <w:rFonts w:ascii="Times New Roman" w:eastAsia="Times New Roman" w:hAnsi="Times New Roman"/>
          <w:sz w:val="24"/>
          <w:szCs w:val="24"/>
        </w:rPr>
        <w:t>w Ośrodku Zapasowym.</w:t>
      </w:r>
    </w:p>
    <w:p w14:paraId="77BCA595" w14:textId="77777777"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1B2929E9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15398EF6" w14:textId="7270D95C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7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Obudowa IBM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BladeCenter</w:t>
      </w:r>
      <w:proofErr w:type="spellEnd"/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7460BDF0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5C2E3980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IBM </w:t>
            </w: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4xGE i 2xFC </w:t>
            </w:r>
          </w:p>
        </w:tc>
      </w:tr>
      <w:tr w:rsidR="001A5CB0" w:rsidRPr="001A5CB0" w14:paraId="1F707276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E63833E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AAEC076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6D1A27A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73F3F0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7E3DA4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88524TG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B39C59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eServer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(tm) H Chassis with 2x2980W PSU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5DE5A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912BC5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062052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68Y6601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B6D5F1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H 2980W AC Power Modules w/Fan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DE5199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390997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ECF7E5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32R1860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92DABC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Layer 2/3 Copper Gb Ethernet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82521D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45E7698B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5D1C7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39Y9314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819C2B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Multi-Switch Interconnect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4FDD3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F5A1AC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9C8C10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5A2FB7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8 Gb SFP+ SW Optical Transceiver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960C1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16B03C4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C32BE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76FE7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20-port 8 Gb SAN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0C65F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D39CDB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20616B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2019A1X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EA21B8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KVM/Advanced Management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0815D0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E98064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D96AB3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46M0902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832675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UltraSlim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Enhanced SATA Multi-Burner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0B36E3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DD21CE0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934B00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25R5785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1A9C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2.8m, 200-240V, Triple 16A IEC 320-C20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BEC3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40AA92DE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</w:rPr>
      </w:pPr>
    </w:p>
    <w:p w14:paraId="6AD13227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767DE465" w14:textId="181A0B10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8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Serwery 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3862F825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56AFFBFD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Serwery aplikacyjne </w:t>
            </w:r>
          </w:p>
        </w:tc>
      </w:tr>
      <w:tr w:rsidR="001A5CB0" w:rsidRPr="001A5CB0" w14:paraId="0E045005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47D6781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9CAADC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F7887F3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FF8109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67E820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4EC81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5FF99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94A9BD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AA25EA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16240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7107F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7CBD07CB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E4A5C0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B9643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66C7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6CA00C3A" w14:textId="77777777" w:rsidTr="001A5CB0">
        <w:trPr>
          <w:trHeight w:val="288"/>
          <w:jc w:val="center"/>
        </w:trPr>
        <w:tc>
          <w:tcPr>
            <w:tcW w:w="1060" w:type="dxa"/>
          </w:tcPr>
          <w:p w14:paraId="7AE0F7C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238E38A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2221254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0E17E6F6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5301FB70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Serwery bazodanowe</w:t>
            </w:r>
          </w:p>
        </w:tc>
      </w:tr>
      <w:tr w:rsidR="001A5CB0" w:rsidRPr="001A5CB0" w14:paraId="3B244A72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460414B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59C079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6DDC653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4FD37CB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A48D24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7870G4G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6B8BA7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E5640 80W 2.66GHz/1066MHz/12MB,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D6A06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7ED7DBA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F6412E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D3712D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8GB (1x8GB, 2Rx4, 1.35V)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DBC9C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6E0B311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A12C77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D7B482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8B8F7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0766EF0C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E66A14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4733D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C4DF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45569C1E" w14:textId="77777777" w:rsidTr="001A5CB0">
        <w:trPr>
          <w:trHeight w:val="288"/>
          <w:jc w:val="center"/>
        </w:trPr>
        <w:tc>
          <w:tcPr>
            <w:tcW w:w="1060" w:type="dxa"/>
          </w:tcPr>
          <w:p w14:paraId="12ED575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363BEC2B" w14:textId="77777777" w:rsid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3DFF190" w14:textId="77777777" w:rsidR="00A15558" w:rsidRDefault="00A15558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142F95B" w14:textId="77777777" w:rsidR="00A15558" w:rsidRPr="001A5CB0" w:rsidRDefault="00A15558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7164DBF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4C5EB98D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26B01692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Load-balancery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14:paraId="765357C8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6901403E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700A8B8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5F9871D1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48BBAD59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5B935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230118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1C2B7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3DA55B4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2F60FC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4C7A34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2GB (1x2GB, 1Rx8, 1.5V)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CFA2C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5456F353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BAC881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DC28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4BBB2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0A887601" w14:textId="77777777" w:rsidTr="001A5CB0">
        <w:trPr>
          <w:trHeight w:val="288"/>
          <w:jc w:val="center"/>
        </w:trPr>
        <w:tc>
          <w:tcPr>
            <w:tcW w:w="1060" w:type="dxa"/>
          </w:tcPr>
          <w:p w14:paraId="26C1872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696BA2E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6154BAA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63597B68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3023AAB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 testowy APP/LB</w:t>
            </w:r>
          </w:p>
        </w:tc>
      </w:tr>
      <w:tr w:rsidR="001A5CB0" w:rsidRPr="001A5CB0" w14:paraId="36AC2E4B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7AE03CD0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0789F752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52E1ACB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0593C5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678BB1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AEB5B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97D8B6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B70ACA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A6DAF1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CE340D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53ACA5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26EB7D7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C9CDFC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44T1486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941D65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2GB (1x2GB) Dual Rank PC3-10600 CL9 ECC DDR3-1333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DC7D96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73847AEA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338F14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8C3F3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6179A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39B389C" w14:textId="77777777" w:rsidTr="001A5CB0">
        <w:trPr>
          <w:trHeight w:val="276"/>
          <w:jc w:val="center"/>
        </w:trPr>
        <w:tc>
          <w:tcPr>
            <w:tcW w:w="1060" w:type="dxa"/>
          </w:tcPr>
          <w:p w14:paraId="3C6C6A4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14:paraId="2635143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5D5511D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0D4839C4" w14:textId="77777777" w:rsidTr="001A5CB0">
        <w:trPr>
          <w:trHeight w:val="288"/>
          <w:jc w:val="center"/>
        </w:trPr>
        <w:tc>
          <w:tcPr>
            <w:tcW w:w="1060" w:type="dxa"/>
          </w:tcPr>
          <w:p w14:paraId="14D76CA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  <w:noWrap/>
            <w:vAlign w:val="bottom"/>
          </w:tcPr>
          <w:p w14:paraId="2770DE9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301769F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14:paraId="7ED6D087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26DCC74E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 testowy bazodanowy</w:t>
            </w:r>
          </w:p>
        </w:tc>
      </w:tr>
      <w:tr w:rsidR="001A5CB0" w:rsidRPr="001A5CB0" w14:paraId="76A94A8E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120AB90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406980FC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A8620E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202A264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79E277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7870G4G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95CE01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E5640 80W 2.66GHz/1066MHz/12MB,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0CABD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0E9005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C0A9E2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E62E2E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E5640 80W 2.66GHz/1066MHz/12MB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2A7F830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5472A6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BFA8B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4B9009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57A44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1A5CB0" w:rsidRPr="001A5CB0" w14:paraId="59112D9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3200F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75AE36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20B88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35061EC6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30E8A6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0E3D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0A49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46D77270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524E0ABA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14:paraId="16FE6BD2" w14:textId="38F9D87E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9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Szafa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rack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439A6D5F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397B207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14:paraId="093CA754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1662A90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61FC6C3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2BD0EDB9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1A0657F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EC022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93084PX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71C6F2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IBM 42U Enterprise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8E23B3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B11BC6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06A68F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172317X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D48ABD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17in Flat Panel Monitor Console Kit w/o keyboard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F4F2C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E0622B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2768FB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40K5400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975465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Keyboard with Integrated Pointing Device- 3m Cable - Black - USB - US Euro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17402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C837BC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C6F9A6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39Y8952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844BD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DPI Universal Rack PDU (Europe)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5E8E3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7B62264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B311F7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39Y8948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690263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C19 Enterprise PDU w/o Line Cord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315EE4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7B549E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F62620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40K9611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C56C1C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32a Cord (IEC 309 3P+N+G)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544A5B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469C327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0E1937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25R5559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E20C1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F60D5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64D47BE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8708A3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72E15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3B37B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096DD75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6A16D3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446013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9E8725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1GB/10GB G8000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for IBM System 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5780BE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696BBB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5EAFB7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46C3417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2BD324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G8000 Dual-port SFP+ XGE Uplink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3DF2C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2B4EF59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FAC410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59Y1932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E46C84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0.5m Molex Direct Attach Copper SFP+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C7E7B5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14:paraId="10DEC0F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F2FE5F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39M5697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B96EFB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5m Fiber Optic Cable LC-LC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77A41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15BEA4A6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C9D05C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301B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BLADE 1000Base-LX SFP Transceiver BN-CKM-S-LX (Avnet)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960807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4DBF3F4F" w14:textId="77777777" w:rsidR="001A5CB0" w:rsidRDefault="001A5CB0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14:paraId="3CEC8CB8" w14:textId="77777777" w:rsidR="00A15558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14:paraId="59DF5292" w14:textId="77777777" w:rsidR="00A15558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14:paraId="676FA22C" w14:textId="77777777" w:rsidR="00A15558" w:rsidRPr="001A5CB0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14:paraId="40AD6AD8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57E8B9C8" w14:textId="2AAE7D2C"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B55A2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10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Macierz dyskowa 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14:paraId="351F42AB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14:paraId="162C1B47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Macierz IBM N3400</w:t>
            </w:r>
          </w:p>
        </w:tc>
      </w:tr>
      <w:tr w:rsidR="001A5CB0" w:rsidRPr="001A5CB0" w14:paraId="3A6728E1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14:paraId="0B4D65BA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33444E9D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14:paraId="5E889FCB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14:paraId="5971433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2981C6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2859-A21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0874F8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N3400 Model A21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029DE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2A29DA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2BB48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CBA417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4-Gbps SFP GBIC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6E4D9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518ED3D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385D6D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4015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8F0C0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300 GB, 15K RPM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CC7AC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14:paraId="2939DA37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F62F8F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F5E53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Base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680FF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2F344B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B75352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A8472A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2F62E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28B9E49E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9A0DF4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BA3625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CFO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FF931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BEA4C3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E845B6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B2C49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32C0C8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B06B28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7A053C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27D54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2E79E3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01B8F2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AFD018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73048E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69638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12932D4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C4EA61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7144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47075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Disk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Sanitization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F2656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514582C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48FC60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AAC102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5F437F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4E3914B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8876E78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EA5CD4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C20FC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8FFD9F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49C1D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9E158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AD576D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5A9C985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A59019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39ECE2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E5889C2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DC56503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DA4B85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402D2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Dual-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path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FC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Cabling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112BA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FBA9B0C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28C103C6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14:paraId="676E350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4DAE63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CBE9110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CFFEC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1D1EEF7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9F5C08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E823E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BB74B5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4A2BF28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DC979E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557979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5E9C6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1ACAF5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28C540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C8032A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23637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1A5CB0" w:rsidRPr="001A5CB0" w14:paraId="60AA47A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8CE886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537FF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097BF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DFBF1EE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F8B1C7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D002C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078EB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38B4982A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557D084F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14:paraId="3A403F8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33E587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9D421C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20754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61790A1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DD1528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58D82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69C78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3837859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114587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9391B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C4B1A2A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14:paraId="1C1CDCEA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50BCA0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51DA1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2867A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1A5CB0" w:rsidRPr="001A5CB0" w14:paraId="0786853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A53CAC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B97495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E4D9D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5AC20396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EB0927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F23F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437A91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2795BF6" w14:textId="77777777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14:paraId="60107585" w14:textId="77777777"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Licencje</w:t>
            </w:r>
          </w:p>
        </w:tc>
      </w:tr>
      <w:tr w:rsidR="001A5CB0" w:rsidRPr="001A5CB0" w14:paraId="48C1B3D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4C9D4BE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2870-594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DF357E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N3400 Licensed Functions 594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806C2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671D95F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A1DF8C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ADCEB49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Base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83B544C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3EF7070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50FF57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0486E96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C72550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E65A6BD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3B9630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A183A57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CFO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82E3B0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77ABD696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CBA654B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5CCD6C5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E582C64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D623D77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65425AA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535B74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C44A4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8DEEFB3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DCD67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1D9EED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E66CD4E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1175255F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B9E48A4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7144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255B8A2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Disk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Sanitization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98FED6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44AB9B32" w14:textId="77777777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62767E1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0C90FA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6B8A75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14:paraId="0F3B5A17" w14:textId="77777777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66DAE33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C0969F" w14:textId="77777777"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F1F29" w14:textId="77777777"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72FBD0EF" w14:textId="77777777"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14:paraId="418B63F3" w14:textId="77777777"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14:paraId="1B863653" w14:textId="77777777" w:rsidR="001A5CB0" w:rsidRPr="001A5CB0" w:rsidRDefault="001A5CB0" w:rsidP="00A15558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Poniższy diagram prezentuje powiązania między węzłami architektury fizycznej wraz z określeniem przynależności do warstw logicznych. Środowisko zapasowe nie posiada osobnej infrastruktury backupu i współdzieli ją ze ś</w:t>
      </w:r>
      <w:r w:rsidR="00A15558">
        <w:rPr>
          <w:rFonts w:ascii="Times New Roman" w:eastAsia="Calibri" w:hAnsi="Times New Roman"/>
          <w:szCs w:val="24"/>
          <w:lang w:eastAsia="en-US"/>
        </w:rPr>
        <w:t xml:space="preserve">rodowiskiem podstawowym (PDC). </w:t>
      </w:r>
    </w:p>
    <w:p w14:paraId="06DEC7DA" w14:textId="77777777" w:rsidR="00A15558" w:rsidRDefault="00A15558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14:paraId="2BA5A46D" w14:textId="77777777"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Rysunek 2. Środowisko zapasowe (BDC)</w:t>
      </w:r>
    </w:p>
    <w:p w14:paraId="0CA1C636" w14:textId="77777777" w:rsidR="001A5CB0" w:rsidRPr="001A5CB0" w:rsidRDefault="00501559" w:rsidP="001A5CB0">
      <w:pPr>
        <w:keepNext/>
        <w:spacing w:after="200" w:line="276" w:lineRule="auto"/>
        <w:jc w:val="both"/>
        <w:rPr>
          <w:rFonts w:ascii="Times New Roman" w:eastAsia="Calibri" w:hAnsi="Times New Roman" w:cs="Arial"/>
          <w:b/>
          <w:bCs/>
          <w:szCs w:val="24"/>
          <w:lang w:eastAsia="en-US"/>
        </w:rPr>
      </w:pPr>
      <w:r>
        <w:rPr>
          <w:rFonts w:ascii="Arial" w:eastAsia="Calibri" w:hAnsi="Arial" w:cs="Arial"/>
          <w:noProof/>
          <w:szCs w:val="24"/>
        </w:rPr>
        <w:drawing>
          <wp:inline distT="0" distB="0" distL="0" distR="0" wp14:anchorId="7168FDFA" wp14:editId="63E45887">
            <wp:extent cx="6066790" cy="4897755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DCC93" w14:textId="77777777" w:rsidR="001A5CB0" w:rsidRPr="00A15558" w:rsidRDefault="001A5CB0" w:rsidP="00D416E4">
      <w:pPr>
        <w:keepNext/>
        <w:numPr>
          <w:ilvl w:val="1"/>
          <w:numId w:val="14"/>
        </w:numPr>
        <w:spacing w:before="480" w:after="120" w:line="276" w:lineRule="auto"/>
        <w:outlineLvl w:val="1"/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</w:pPr>
      <w:r w:rsidRPr="001A5CB0"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  <w:t>Sieć LAN</w:t>
      </w:r>
    </w:p>
    <w:p w14:paraId="1EDDFDC5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>Sieć LAN dla środowis</w:t>
      </w:r>
      <w:r w:rsidR="00DB5027">
        <w:rPr>
          <w:rFonts w:ascii="Times New Roman" w:eastAsia="Times New Roman" w:hAnsi="Times New Roman"/>
        </w:rPr>
        <w:t xml:space="preserve">ka </w:t>
      </w:r>
      <w:proofErr w:type="spellStart"/>
      <w:r w:rsidR="00DB5027">
        <w:rPr>
          <w:rFonts w:ascii="Times New Roman" w:eastAsia="Times New Roman" w:hAnsi="Times New Roman"/>
        </w:rPr>
        <w:t>FileNet</w:t>
      </w:r>
      <w:proofErr w:type="spellEnd"/>
      <w:r w:rsidR="00DB5027">
        <w:rPr>
          <w:rFonts w:ascii="Times New Roman" w:eastAsia="Times New Roman" w:hAnsi="Times New Roman"/>
        </w:rPr>
        <w:t xml:space="preserve"> została oparta</w:t>
      </w:r>
      <w:r w:rsidRPr="001A5CB0">
        <w:rPr>
          <w:rFonts w:ascii="Times New Roman" w:eastAsia="Times New Roman" w:hAnsi="Times New Roman"/>
        </w:rPr>
        <w:t xml:space="preserve"> na dwóch przełącznikach IBM BNT 1Gb/10Gb G8000 </w:t>
      </w:r>
      <w:proofErr w:type="spellStart"/>
      <w:r w:rsidRPr="001A5CB0">
        <w:rPr>
          <w:rFonts w:ascii="Times New Roman" w:eastAsia="Times New Roman" w:hAnsi="Times New Roman"/>
        </w:rPr>
        <w:t>RackSwitch</w:t>
      </w:r>
      <w:proofErr w:type="spellEnd"/>
      <w:r w:rsidRPr="001A5CB0">
        <w:rPr>
          <w:rFonts w:ascii="Times New Roman" w:eastAsia="Times New Roman" w:hAnsi="Times New Roman"/>
        </w:rPr>
        <w:t xml:space="preserve"> w każdym Data Center.</w:t>
      </w:r>
    </w:p>
    <w:p w14:paraId="455D244A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 xml:space="preserve">Przełączniki IBM BNT 1Gb/10Gb G8000 zostały połączone w technologii </w:t>
      </w:r>
      <w:proofErr w:type="spellStart"/>
      <w:r w:rsidRPr="001A5CB0">
        <w:rPr>
          <w:rFonts w:ascii="Times New Roman" w:eastAsia="Times New Roman" w:hAnsi="Times New Roman"/>
        </w:rPr>
        <w:t>Stack</w:t>
      </w:r>
      <w:proofErr w:type="spellEnd"/>
      <w:r w:rsidRPr="001A5CB0">
        <w:rPr>
          <w:rFonts w:ascii="Times New Roman" w:eastAsia="Times New Roman" w:hAnsi="Times New Roman"/>
        </w:rPr>
        <w:t xml:space="preserve"> i wykreowane jako jeden pojedynczy przełącznik (w sieci są widziane jako pojedynczy przełącznik z pojedynczym adresem do zarządzania). W każdym Data Center został zainstalowany oddzielny stos przełączników G8000.</w:t>
      </w:r>
    </w:p>
    <w:p w14:paraId="21460DCA" w14:textId="77777777" w:rsidR="001A5CB0" w:rsidRPr="001A5CB0" w:rsidRDefault="001A5CB0" w:rsidP="00B825F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78BCF3C" w14:textId="77777777" w:rsidR="001A5CB0" w:rsidRPr="001A5CB0" w:rsidRDefault="001A5CB0" w:rsidP="00A15558">
      <w:p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13 </w:t>
      </w:r>
      <w:r w:rsidRPr="001A5CB0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Nazewnic</w:t>
      </w:r>
      <w:r w:rsidR="00DB5027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two przełączników sieciowych w Ośrodku P</w:t>
      </w:r>
      <w:r w:rsidRPr="001A5CB0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odstawowym: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A5CB0" w:rsidRPr="001A5CB0" w14:paraId="7DB9CFF3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E3E5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C3BF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640A6461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3F3FF450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A100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ARC-PBSW2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36E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7E4F320C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56339D64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87F1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ARC-PBSW3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EB17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0F129039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458B13FA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F87F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ARC-PBSW4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A96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4E8453AE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157010F2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2887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A30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1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14:paraId="78F977A6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CB0" w:rsidRPr="001A5CB0" w14:paraId="7D2E1334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CE49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D1A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2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14:paraId="2685FC55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A3B949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308080E" w14:textId="77777777" w:rsidR="001A5CB0" w:rsidRPr="001A5CB0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Tabela 14 Nazewnictwo przełączników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sieciowych w Ośrodku Z</w:t>
      </w: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apasowym: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A5CB0" w:rsidRPr="001A5CB0" w14:paraId="12BA2C1D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AF2A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D34C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A83F0CF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284E0709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1221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3B4D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6C76E577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1251438D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A109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ARC-BBSW3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BC05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1EDFFF49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5EB92AE8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C42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ARC-BBSW4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871E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14:paraId="11B16D42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14:paraId="360553A3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ED63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A00A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1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14:paraId="49329EDD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CB0" w:rsidRPr="001A5CB0" w14:paraId="179F3F2B" w14:textId="77777777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5568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2B4E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2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14:paraId="5C7535D6" w14:textId="77777777"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4701BA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61A23BF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DA34CD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284ADB" w14:textId="77777777"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 xml:space="preserve">Do przełączników G8000 zostały podłączone przełączniki znajdujące się w chassis IBM </w:t>
      </w:r>
      <w:proofErr w:type="spellStart"/>
      <w:r w:rsidRPr="001A5CB0">
        <w:rPr>
          <w:rFonts w:ascii="Times New Roman" w:eastAsia="Times New Roman" w:hAnsi="Times New Roman"/>
        </w:rPr>
        <w:t>BladeCenter</w:t>
      </w:r>
      <w:proofErr w:type="spellEnd"/>
      <w:r w:rsidRPr="001A5CB0">
        <w:rPr>
          <w:rFonts w:ascii="Times New Roman" w:eastAsia="Times New Roman" w:hAnsi="Times New Roman"/>
        </w:rPr>
        <w:t xml:space="preserve">. Każde połączenie to zostało wykonane z użyciem 6 łączy Gigabit Ethernet. </w:t>
      </w:r>
    </w:p>
    <w:p w14:paraId="65CC77BE" w14:textId="77777777" w:rsidR="001A5CB0" w:rsidRPr="001A5CB0" w:rsidRDefault="001A5CB0" w:rsidP="001A5CB0">
      <w:pPr>
        <w:keepNext/>
        <w:spacing w:after="200" w:line="276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701A9919" w14:textId="77777777"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70558F" w14:textId="77777777"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Arial" w:eastAsia="Times New Roman" w:hAnsi="Arial"/>
          <w:b/>
          <w:color w:val="4D4D4D"/>
          <w:kern w:val="32"/>
          <w:sz w:val="52"/>
          <w:szCs w:val="52"/>
          <w:lang w:val="x-none" w:eastAsia="x-none"/>
        </w:rPr>
      </w:pP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lastRenderedPageBreak/>
        <w:t>Fizyczny model Systemu</w:t>
      </w:r>
      <w:bookmarkEnd w:id="9"/>
    </w:p>
    <w:p w14:paraId="3B8F23FE" w14:textId="77777777"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Archiwum w warstwie fizycznej składa się  z dwóch ośrodków zlokalizowanych w Warszawie (środowisko podstawowe - PDC) i Żyrardowie (środowisko zapasowe – BDC). W obu ośrodkach z</w:t>
      </w:r>
      <w:r w:rsidR="00FF3132">
        <w:rPr>
          <w:rFonts w:ascii="Times New Roman" w:eastAsia="Calibri" w:hAnsi="Times New Roman"/>
          <w:szCs w:val="24"/>
          <w:lang w:eastAsia="en-US"/>
        </w:rPr>
        <w:t>b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udowano platformy systemowe zapewniające wysoką dostępność realizowanych funkcjonalności biznesowych. Zapewnienie wysokiej dostępności zostało oparte na mechanizmach: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klastrowania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oraz rozkładania obciążenia farm serwerów aplikacyjnych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Zaprojektowana architektura została oparta na następujących komponentach oprogramowania: </w:t>
      </w:r>
    </w:p>
    <w:p w14:paraId="7D64A754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JBOSS Application Server: Serwer aplikacyjny zgodny ze standardem Java EE, zapewniający funkcjonalność wysokowydajnej farmy serwerów z rozkładem obciążenia.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Server będzie stanowił środowisko uruchomieniowe dla komponentów realizujących funkcjonalności biznesowe,</w:t>
      </w:r>
    </w:p>
    <w:p w14:paraId="19743C7A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Veritas Cluster Software: Zbiór mechanizmów zapewniający ochronę aplikacji przed awariami, zarówno oprogramowania jak i sprzętu, poprzez użycie klastra serwerów działających w układzie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/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,</w:t>
      </w:r>
    </w:p>
    <w:p w14:paraId="1B40CAA5" w14:textId="77777777"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RDBMS ORACLE 11g R2 Real Application Cluster (RAC): Komponent zapewniający wysokodostępną i wydajną platformę bazodanową, uniezależniając środowisko od awarii sprzętu lub oprogramowania, wykorzystujący natywny mechanizm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klastrowania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ORACLE. </w:t>
      </w:r>
      <w:r w:rsidR="00AF3B61">
        <w:rPr>
          <w:rFonts w:ascii="Times New Roman" w:eastAsia="Calibri" w:hAnsi="Times New Roman"/>
          <w:szCs w:val="24"/>
          <w:lang w:eastAsia="en-US"/>
        </w:rPr>
        <w:t xml:space="preserve">    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W przypadku niedostępności jednego z węzłów pozostałe węzły w sposób transparentny dla użytkownika kontynuują rozpoczęte operacje. </w:t>
      </w:r>
    </w:p>
    <w:p w14:paraId="1FAAE9DE" w14:textId="77777777"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7ADABFE3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5006A4A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6BFA786A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2EA6B0E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619A4F7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0DA905E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6BE141A2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B9FDBBD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EBDAD1C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4DA70800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BEAD985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BA77DEA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3962F23" w14:textId="77777777"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39AFCE0" w14:textId="77777777" w:rsidR="00B825F1" w:rsidRPr="00B825F1" w:rsidRDefault="00551F76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Załącznik nr 3</w:t>
      </w:r>
    </w:p>
    <w:p w14:paraId="5BE3E8D4" w14:textId="77777777" w:rsidR="00B825F1" w:rsidRPr="00B825F1" w:rsidRDefault="00B825F1" w:rsidP="00B825F1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do Umowy nr ………..</w:t>
      </w:r>
    </w:p>
    <w:p w14:paraId="5167E37B" w14:textId="77777777" w:rsidR="00B825F1" w:rsidRPr="00B825F1" w:rsidRDefault="00B825F1" w:rsidP="00B825F1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 xml:space="preserve">  z dn. …………………….</w:t>
      </w:r>
    </w:p>
    <w:p w14:paraId="198ED70E" w14:textId="77777777" w:rsidR="00B825F1" w:rsidRPr="00B825F1" w:rsidRDefault="00B825F1" w:rsidP="00B825F1">
      <w:pPr>
        <w:spacing w:after="120" w:line="28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p w14:paraId="17DCE0BF" w14:textId="77777777" w:rsidR="00B825F1" w:rsidRDefault="00B825F1" w:rsidP="00B825F1">
      <w:pPr>
        <w:spacing w:after="120" w:line="28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Raport z realizacji usł</w:t>
      </w:r>
      <w:r w:rsidR="00AF3B61">
        <w:rPr>
          <w:rFonts w:ascii="Times New Roman" w:eastAsia="Times New Roman" w:hAnsi="Times New Roman"/>
          <w:sz w:val="24"/>
          <w:szCs w:val="24"/>
        </w:rPr>
        <w:t>ug utrzymania systemu Archiwum</w:t>
      </w:r>
    </w:p>
    <w:p w14:paraId="0FA6BCC2" w14:textId="77777777" w:rsidR="00B825F1" w:rsidRPr="00B825F1" w:rsidRDefault="00B825F1" w:rsidP="00B825F1">
      <w:pPr>
        <w:spacing w:after="120" w:line="28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Metryka raportu</w:t>
      </w:r>
      <w:r w:rsidRPr="00B825F1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2377"/>
        <w:gridCol w:w="7083"/>
      </w:tblGrid>
      <w:tr w:rsidR="00B825F1" w:rsidRPr="00B825F1" w14:paraId="5BABBCAE" w14:textId="77777777" w:rsidTr="001B30C4">
        <w:tc>
          <w:tcPr>
            <w:tcW w:w="2421" w:type="dxa"/>
            <w:vAlign w:val="center"/>
          </w:tcPr>
          <w:p w14:paraId="0AA408E4" w14:textId="77777777"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Identyfikator raportu</w:t>
            </w:r>
          </w:p>
        </w:tc>
        <w:tc>
          <w:tcPr>
            <w:tcW w:w="7360" w:type="dxa"/>
            <w:vAlign w:val="center"/>
          </w:tcPr>
          <w:p w14:paraId="51F5BEF6" w14:textId="77777777"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23F22438" w14:textId="77777777" w:rsidTr="001B30C4">
        <w:tc>
          <w:tcPr>
            <w:tcW w:w="2421" w:type="dxa"/>
            <w:vAlign w:val="center"/>
          </w:tcPr>
          <w:p w14:paraId="66724CD4" w14:textId="77777777"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Identyfikator umowy</w:t>
            </w:r>
          </w:p>
        </w:tc>
        <w:tc>
          <w:tcPr>
            <w:tcW w:w="7360" w:type="dxa"/>
            <w:vAlign w:val="center"/>
          </w:tcPr>
          <w:p w14:paraId="49FA5741" w14:textId="77777777"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544B5157" w14:textId="77777777" w:rsidTr="001B30C4">
        <w:tc>
          <w:tcPr>
            <w:tcW w:w="2421" w:type="dxa"/>
            <w:vAlign w:val="center"/>
          </w:tcPr>
          <w:p w14:paraId="1B643663" w14:textId="77777777"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Okres raportowy</w:t>
            </w:r>
          </w:p>
        </w:tc>
        <w:tc>
          <w:tcPr>
            <w:tcW w:w="7360" w:type="dxa"/>
            <w:vAlign w:val="center"/>
          </w:tcPr>
          <w:p w14:paraId="6E8736B9" w14:textId="77777777"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20E26C03" w14:textId="77777777" w:rsidTr="001B30C4">
        <w:tc>
          <w:tcPr>
            <w:tcW w:w="2421" w:type="dxa"/>
            <w:vAlign w:val="center"/>
          </w:tcPr>
          <w:p w14:paraId="687C5371" w14:textId="77777777"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Opracował (a)</w:t>
            </w:r>
          </w:p>
        </w:tc>
        <w:tc>
          <w:tcPr>
            <w:tcW w:w="7360" w:type="dxa"/>
            <w:vAlign w:val="center"/>
          </w:tcPr>
          <w:p w14:paraId="0499F1EB" w14:textId="77777777"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52FC9ACD" w14:textId="77777777" w:rsidTr="001B30C4">
        <w:tc>
          <w:tcPr>
            <w:tcW w:w="2421" w:type="dxa"/>
            <w:vAlign w:val="center"/>
          </w:tcPr>
          <w:p w14:paraId="295665F0" w14:textId="77777777"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Data opracowania</w:t>
            </w:r>
          </w:p>
        </w:tc>
        <w:tc>
          <w:tcPr>
            <w:tcW w:w="7360" w:type="dxa"/>
            <w:vAlign w:val="center"/>
          </w:tcPr>
          <w:p w14:paraId="72918086" w14:textId="77777777"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FCB89B5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Podsumowanie zadań w ramach wykonanych usług: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314"/>
        <w:gridCol w:w="2587"/>
      </w:tblGrid>
      <w:tr w:rsidR="00B825F1" w:rsidRPr="00B825F1" w14:paraId="4FEBDFD6" w14:textId="77777777" w:rsidTr="00B825F1">
        <w:trPr>
          <w:trHeight w:val="639"/>
          <w:jc w:val="center"/>
        </w:trPr>
        <w:tc>
          <w:tcPr>
            <w:tcW w:w="5314" w:type="dxa"/>
            <w:shd w:val="clear" w:color="auto" w:fill="5B9BD5"/>
          </w:tcPr>
          <w:p w14:paraId="7E6EB96B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Nazwa zadania</w:t>
            </w:r>
          </w:p>
        </w:tc>
        <w:tc>
          <w:tcPr>
            <w:tcW w:w="2587" w:type="dxa"/>
            <w:shd w:val="clear" w:color="auto" w:fill="4F81BD"/>
          </w:tcPr>
          <w:p w14:paraId="78CC47D0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Liczba zrealizowanych zadań</w:t>
            </w:r>
          </w:p>
        </w:tc>
      </w:tr>
      <w:tr w:rsidR="00B825F1" w:rsidRPr="00B825F1" w14:paraId="4F2CB946" w14:textId="77777777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14:paraId="26F6F687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Zgłoszone incydenty krytyczne</w:t>
            </w:r>
          </w:p>
        </w:tc>
        <w:tc>
          <w:tcPr>
            <w:tcW w:w="2587" w:type="dxa"/>
            <w:shd w:val="clear" w:color="auto" w:fill="D3DFEE"/>
          </w:tcPr>
          <w:p w14:paraId="6B5C4E17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2E105EEC" w14:textId="77777777" w:rsidTr="00B825F1">
        <w:trPr>
          <w:trHeight w:val="386"/>
          <w:jc w:val="center"/>
        </w:trPr>
        <w:tc>
          <w:tcPr>
            <w:tcW w:w="5314" w:type="dxa"/>
            <w:shd w:val="clear" w:color="auto" w:fill="5B9BD5"/>
          </w:tcPr>
          <w:p w14:paraId="01CC8215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Zrealizowane i zamknięte  incydenty krytyczne</w:t>
            </w:r>
          </w:p>
        </w:tc>
        <w:tc>
          <w:tcPr>
            <w:tcW w:w="2587" w:type="dxa"/>
            <w:shd w:val="clear" w:color="auto" w:fill="D3DFEE"/>
          </w:tcPr>
          <w:p w14:paraId="1DA71654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62BFEE0A" w14:textId="77777777" w:rsidTr="00B825F1">
        <w:trPr>
          <w:trHeight w:val="422"/>
          <w:jc w:val="center"/>
        </w:trPr>
        <w:tc>
          <w:tcPr>
            <w:tcW w:w="5314" w:type="dxa"/>
            <w:shd w:val="clear" w:color="auto" w:fill="5B9BD5"/>
          </w:tcPr>
          <w:p w14:paraId="45165C60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Zamknięte z innym statusem incydenty krytyczne </w:t>
            </w:r>
          </w:p>
        </w:tc>
        <w:tc>
          <w:tcPr>
            <w:tcW w:w="2587" w:type="dxa"/>
            <w:shd w:val="clear" w:color="auto" w:fill="D3DFEE"/>
          </w:tcPr>
          <w:p w14:paraId="05E2A426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</w:tr>
      <w:tr w:rsidR="00B825F1" w:rsidRPr="00B825F1" w14:paraId="264E5BAB" w14:textId="77777777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14:paraId="781BE439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Zgłoszone  incydenty inne</w:t>
            </w:r>
          </w:p>
        </w:tc>
        <w:tc>
          <w:tcPr>
            <w:tcW w:w="2587" w:type="dxa"/>
            <w:shd w:val="clear" w:color="auto" w:fill="D3DFEE"/>
          </w:tcPr>
          <w:p w14:paraId="610F62CE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12A89950" w14:textId="77777777" w:rsidTr="00B825F1">
        <w:trPr>
          <w:trHeight w:val="412"/>
          <w:jc w:val="center"/>
        </w:trPr>
        <w:tc>
          <w:tcPr>
            <w:tcW w:w="5314" w:type="dxa"/>
            <w:shd w:val="clear" w:color="auto" w:fill="5B9BD5"/>
          </w:tcPr>
          <w:p w14:paraId="271F7901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Zrealizowane  i zamknięte incydenty inne</w:t>
            </w:r>
          </w:p>
        </w:tc>
        <w:tc>
          <w:tcPr>
            <w:tcW w:w="2587" w:type="dxa"/>
            <w:shd w:val="clear" w:color="auto" w:fill="D3DFEE"/>
          </w:tcPr>
          <w:p w14:paraId="7D71D295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14:paraId="0E40BDAE" w14:textId="77777777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14:paraId="690E5D37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Zamknięte z innym statusem incydenty inne</w:t>
            </w:r>
          </w:p>
        </w:tc>
        <w:tc>
          <w:tcPr>
            <w:tcW w:w="2587" w:type="dxa"/>
            <w:shd w:val="clear" w:color="auto" w:fill="D3DFEE"/>
          </w:tcPr>
          <w:p w14:paraId="671AE7F0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</w:tr>
    </w:tbl>
    <w:p w14:paraId="64B9675E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7BF72F7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Podsumowanie przekroczeń wymaganych w Umowie progów jakościowych dla poszczególnych kategorii usług podlegających rozliczeniu ryczałtowemu: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44"/>
        <w:gridCol w:w="2553"/>
      </w:tblGrid>
      <w:tr w:rsidR="00B825F1" w:rsidRPr="00B825F1" w14:paraId="65EAEB6D" w14:textId="77777777" w:rsidTr="00B825F1">
        <w:trPr>
          <w:trHeight w:val="723"/>
          <w:jc w:val="center"/>
        </w:trPr>
        <w:tc>
          <w:tcPr>
            <w:tcW w:w="5244" w:type="dxa"/>
            <w:shd w:val="clear" w:color="auto" w:fill="5B9BD5"/>
          </w:tcPr>
          <w:p w14:paraId="46AA4433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Parametr</w:t>
            </w:r>
          </w:p>
        </w:tc>
        <w:tc>
          <w:tcPr>
            <w:tcW w:w="2553" w:type="dxa"/>
            <w:shd w:val="clear" w:color="auto" w:fill="4F81BD"/>
          </w:tcPr>
          <w:p w14:paraId="0D072389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Wartość ponad ustalony próg jakościowy</w:t>
            </w:r>
          </w:p>
        </w:tc>
      </w:tr>
      <w:tr w:rsidR="00B825F1" w:rsidRPr="00B825F1" w14:paraId="52D1AC61" w14:textId="77777777" w:rsidTr="00B825F1">
        <w:trPr>
          <w:trHeight w:val="549"/>
          <w:jc w:val="center"/>
        </w:trPr>
        <w:tc>
          <w:tcPr>
            <w:tcW w:w="5244" w:type="dxa"/>
            <w:shd w:val="clear" w:color="auto" w:fill="5B9BD5"/>
          </w:tcPr>
          <w:p w14:paraId="00569855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Całkowita niedostępność systemu ponad limit umowny</w:t>
            </w:r>
          </w:p>
        </w:tc>
        <w:tc>
          <w:tcPr>
            <w:tcW w:w="2553" w:type="dxa"/>
            <w:shd w:val="clear" w:color="auto" w:fill="D3DFEE"/>
          </w:tcPr>
          <w:p w14:paraId="151E9F4B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14:paraId="6C311AD8" w14:textId="77777777" w:rsidTr="00B825F1">
        <w:trPr>
          <w:trHeight w:val="557"/>
          <w:jc w:val="center"/>
        </w:trPr>
        <w:tc>
          <w:tcPr>
            <w:tcW w:w="5244" w:type="dxa"/>
            <w:shd w:val="clear" w:color="auto" w:fill="5B9BD5"/>
          </w:tcPr>
          <w:p w14:paraId="50CEECEB" w14:textId="77777777"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Maksymalna jednorazowa niedostępność ponad limit umowny</w:t>
            </w:r>
          </w:p>
        </w:tc>
        <w:tc>
          <w:tcPr>
            <w:tcW w:w="2553" w:type="dxa"/>
            <w:shd w:val="clear" w:color="auto" w:fill="D3DFEE"/>
          </w:tcPr>
          <w:p w14:paraId="2D63E411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14:paraId="0DC5E912" w14:textId="77777777" w:rsidTr="00B825F1">
        <w:trPr>
          <w:trHeight w:val="439"/>
          <w:jc w:val="center"/>
        </w:trPr>
        <w:tc>
          <w:tcPr>
            <w:tcW w:w="5244" w:type="dxa"/>
            <w:shd w:val="clear" w:color="auto" w:fill="5B9BD5"/>
          </w:tcPr>
          <w:p w14:paraId="32DFB2ED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Sumaryczna liczba godzin opóźnienia rozwiązania incydentów krytycznych</w:t>
            </w:r>
          </w:p>
        </w:tc>
        <w:tc>
          <w:tcPr>
            <w:tcW w:w="2553" w:type="dxa"/>
            <w:shd w:val="clear" w:color="auto" w:fill="D3DFEE"/>
          </w:tcPr>
          <w:p w14:paraId="4ADFFBA6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14:paraId="1B62611F" w14:textId="77777777" w:rsidTr="00B825F1">
        <w:trPr>
          <w:trHeight w:val="681"/>
          <w:jc w:val="center"/>
        </w:trPr>
        <w:tc>
          <w:tcPr>
            <w:tcW w:w="5244" w:type="dxa"/>
            <w:shd w:val="clear" w:color="auto" w:fill="5B9BD5"/>
          </w:tcPr>
          <w:p w14:paraId="7C8B223D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Sumaryczna liczba godzin opóźnienia reakcji dla incydentów innych*</w:t>
            </w:r>
          </w:p>
        </w:tc>
        <w:tc>
          <w:tcPr>
            <w:tcW w:w="2553" w:type="dxa"/>
            <w:shd w:val="clear" w:color="auto" w:fill="D3DFEE"/>
          </w:tcPr>
          <w:p w14:paraId="00AD820A" w14:textId="77777777"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</w:tbl>
    <w:p w14:paraId="2834B18A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* parametr nie ma wpływu na kary umowne.</w:t>
      </w:r>
    </w:p>
    <w:p w14:paraId="088BC0DB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lastRenderedPageBreak/>
        <w:t>Szczegółowe podsumowanie zadań zrealizowanych w okresie raportowym zamieszczono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B825F1">
        <w:rPr>
          <w:rFonts w:ascii="Times New Roman" w:eastAsia="Times New Roman" w:hAnsi="Times New Roman"/>
          <w:sz w:val="24"/>
          <w:szCs w:val="24"/>
        </w:rPr>
        <w:t xml:space="preserve"> w rozdziale raportu „Usługa administrowania systemem”.</w:t>
      </w:r>
    </w:p>
    <w:p w14:paraId="747258DA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B825F1" w:rsidRPr="00B825F1" w14:paraId="3EFBCE22" w14:textId="77777777" w:rsidTr="001B30C4">
        <w:tc>
          <w:tcPr>
            <w:tcW w:w="8755" w:type="dxa"/>
            <w:gridSpan w:val="2"/>
            <w:shd w:val="clear" w:color="auto" w:fill="E7E6E6"/>
          </w:tcPr>
          <w:p w14:paraId="61C789BC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Wykonawca:</w:t>
            </w:r>
          </w:p>
        </w:tc>
      </w:tr>
      <w:tr w:rsidR="00B825F1" w:rsidRPr="00B825F1" w14:paraId="5D911365" w14:textId="77777777" w:rsidTr="001B30C4">
        <w:tc>
          <w:tcPr>
            <w:tcW w:w="3227" w:type="dxa"/>
            <w:shd w:val="clear" w:color="auto" w:fill="E7E6E6"/>
          </w:tcPr>
          <w:p w14:paraId="5D1FCA36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</w:p>
        </w:tc>
        <w:tc>
          <w:tcPr>
            <w:tcW w:w="5528" w:type="dxa"/>
            <w:shd w:val="clear" w:color="auto" w:fill="E7E6E6"/>
          </w:tcPr>
          <w:p w14:paraId="279D6DFC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0FE354D8" w14:textId="77777777" w:rsidTr="001B30C4">
        <w:tc>
          <w:tcPr>
            <w:tcW w:w="3227" w:type="dxa"/>
          </w:tcPr>
          <w:p w14:paraId="21A1E209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5528" w:type="dxa"/>
          </w:tcPr>
          <w:p w14:paraId="5A692CAA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69C63FC8" w14:textId="77777777" w:rsidTr="001B30C4">
        <w:tc>
          <w:tcPr>
            <w:tcW w:w="3227" w:type="dxa"/>
          </w:tcPr>
          <w:p w14:paraId="1F3AA934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Data przedstawienia raportu do akceptacji</w:t>
            </w:r>
          </w:p>
        </w:tc>
        <w:tc>
          <w:tcPr>
            <w:tcW w:w="5528" w:type="dxa"/>
          </w:tcPr>
          <w:p w14:paraId="2879F55A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57DBA8FF" w14:textId="77777777" w:rsidTr="001B30C4">
        <w:trPr>
          <w:trHeight w:val="571"/>
        </w:trPr>
        <w:tc>
          <w:tcPr>
            <w:tcW w:w="3227" w:type="dxa"/>
            <w:tcBorders>
              <w:bottom w:val="single" w:sz="4" w:space="0" w:color="000000"/>
            </w:tcBorders>
          </w:tcPr>
          <w:p w14:paraId="7589BD6F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Podpis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0354D1A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13C0C17F" w14:textId="77777777" w:rsidTr="001B30C4">
        <w:tc>
          <w:tcPr>
            <w:tcW w:w="8755" w:type="dxa"/>
            <w:gridSpan w:val="2"/>
            <w:shd w:val="clear" w:color="auto" w:fill="E7E6E6"/>
          </w:tcPr>
          <w:p w14:paraId="20EF3493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Zamawiający:</w:t>
            </w:r>
          </w:p>
        </w:tc>
      </w:tr>
      <w:tr w:rsidR="00B825F1" w:rsidRPr="00B825F1" w14:paraId="283BDBAD" w14:textId="77777777" w:rsidTr="001B30C4">
        <w:tc>
          <w:tcPr>
            <w:tcW w:w="3227" w:type="dxa"/>
            <w:shd w:val="clear" w:color="auto" w:fill="E7E6E6"/>
          </w:tcPr>
          <w:p w14:paraId="64CBF3A9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</w:p>
        </w:tc>
        <w:tc>
          <w:tcPr>
            <w:tcW w:w="5528" w:type="dxa"/>
            <w:shd w:val="clear" w:color="auto" w:fill="E7E6E6"/>
          </w:tcPr>
          <w:p w14:paraId="7F4F8204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 xml:space="preserve"> KRUS</w:t>
            </w:r>
          </w:p>
        </w:tc>
      </w:tr>
      <w:tr w:rsidR="00B825F1" w:rsidRPr="00B825F1" w14:paraId="6D9DF75B" w14:textId="77777777" w:rsidTr="001B30C4">
        <w:tc>
          <w:tcPr>
            <w:tcW w:w="3227" w:type="dxa"/>
          </w:tcPr>
          <w:p w14:paraId="1B673805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5528" w:type="dxa"/>
          </w:tcPr>
          <w:p w14:paraId="61DCC5D2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0E6409FF" w14:textId="77777777" w:rsidTr="001B30C4">
        <w:tc>
          <w:tcPr>
            <w:tcW w:w="3227" w:type="dxa"/>
          </w:tcPr>
          <w:p w14:paraId="602757BE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Data akceptacji  raportu</w:t>
            </w:r>
          </w:p>
        </w:tc>
        <w:tc>
          <w:tcPr>
            <w:tcW w:w="5528" w:type="dxa"/>
          </w:tcPr>
          <w:p w14:paraId="605DED43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44D0B02C" w14:textId="77777777" w:rsidTr="001B30C4">
        <w:trPr>
          <w:trHeight w:val="474"/>
        </w:trPr>
        <w:tc>
          <w:tcPr>
            <w:tcW w:w="3227" w:type="dxa"/>
          </w:tcPr>
          <w:p w14:paraId="2EE02945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Podpis</w:t>
            </w:r>
          </w:p>
        </w:tc>
        <w:tc>
          <w:tcPr>
            <w:tcW w:w="5528" w:type="dxa"/>
          </w:tcPr>
          <w:p w14:paraId="689C074B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14:paraId="1E57D6FF" w14:textId="77777777" w:rsidTr="001B30C4">
        <w:trPr>
          <w:trHeight w:val="2125"/>
        </w:trPr>
        <w:tc>
          <w:tcPr>
            <w:tcW w:w="3227" w:type="dxa"/>
          </w:tcPr>
          <w:p w14:paraId="15035F5B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Uwagi</w:t>
            </w:r>
          </w:p>
          <w:p w14:paraId="3D6DD198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0E7C27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BDA607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974DC9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8FD996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9B0080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6EDA0A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AF5333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17B3C1" w14:textId="77777777"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ADFAD0F" w14:textId="77777777"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1FEE9AB" w14:textId="77777777" w:rsidR="00B825F1" w:rsidRPr="00B825F1" w:rsidRDefault="00B825F1" w:rsidP="00B825F1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0B57416E" w14:textId="77777777" w:rsidR="001A5CB0" w:rsidRDefault="001A5CB0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D75D98D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D27BFBB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8F323AE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2AC8D46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0B47FB5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7943551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6BCE5A49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666A9801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2565760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6562BEC3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83D2438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CA348F7" w14:textId="77777777"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F3316A8" w14:textId="77777777" w:rsidR="00A148C5" w:rsidRPr="00A148C5" w:rsidRDefault="00A148C5" w:rsidP="00A148C5">
      <w:pPr>
        <w:widowControl w:val="0"/>
        <w:spacing w:after="0" w:line="276" w:lineRule="auto"/>
        <w:jc w:val="right"/>
        <w:rPr>
          <w:rFonts w:ascii="Times New Roman" w:eastAsia="Times New Roman" w:hAnsi="Times New Roman"/>
          <w:b/>
        </w:rPr>
      </w:pPr>
      <w:r w:rsidRPr="00A148C5">
        <w:rPr>
          <w:rFonts w:ascii="Times New Roman" w:eastAsia="Times New Roman" w:hAnsi="Times New Roman"/>
          <w:b/>
        </w:rPr>
        <w:lastRenderedPageBreak/>
        <w:t>Załącznik nr 4</w:t>
      </w:r>
    </w:p>
    <w:p w14:paraId="05F8E64E" w14:textId="77777777" w:rsidR="00A148C5" w:rsidRPr="00A148C5" w:rsidRDefault="00A148C5" w:rsidP="00A148C5">
      <w:pPr>
        <w:widowControl w:val="0"/>
        <w:spacing w:after="0" w:line="276" w:lineRule="auto"/>
        <w:jc w:val="right"/>
        <w:rPr>
          <w:rFonts w:ascii="Times New Roman" w:eastAsia="Times New Roman" w:hAnsi="Times New Roman"/>
        </w:rPr>
      </w:pPr>
      <w:r w:rsidRPr="00A148C5">
        <w:rPr>
          <w:rFonts w:ascii="Times New Roman" w:eastAsia="Times New Roman" w:hAnsi="Times New Roman"/>
        </w:rPr>
        <w:t>do Umowy nr ………..</w:t>
      </w:r>
    </w:p>
    <w:p w14:paraId="38A7E573" w14:textId="77777777" w:rsidR="00A148C5" w:rsidRPr="00A148C5" w:rsidRDefault="00A148C5" w:rsidP="00A148C5">
      <w:pPr>
        <w:spacing w:after="0" w:line="276" w:lineRule="auto"/>
        <w:ind w:left="7090"/>
        <w:jc w:val="center"/>
        <w:rPr>
          <w:rFonts w:ascii="Times New Roman" w:eastAsia="Times New Roman" w:hAnsi="Times New Roman"/>
        </w:rPr>
      </w:pPr>
      <w:r w:rsidRPr="00A148C5">
        <w:rPr>
          <w:rFonts w:ascii="Times New Roman" w:eastAsia="Times New Roman" w:hAnsi="Times New Roman"/>
        </w:rPr>
        <w:t>z dn. …………………….</w:t>
      </w:r>
    </w:p>
    <w:p w14:paraId="1C1A3F93" w14:textId="77777777" w:rsidR="00C33E39" w:rsidRPr="00860A8B" w:rsidRDefault="00C33E39" w:rsidP="00C33E39">
      <w:pPr>
        <w:rPr>
          <w:rFonts w:ascii="Calibri" w:hAnsi="Calibri" w:cs="Arial"/>
        </w:rPr>
      </w:pPr>
    </w:p>
    <w:p w14:paraId="3605B93A" w14:textId="77777777" w:rsidR="00C33E39" w:rsidRPr="00C33E39" w:rsidRDefault="00C33E39" w:rsidP="00C33E39">
      <w:pPr>
        <w:jc w:val="right"/>
        <w:rPr>
          <w:rFonts w:ascii="Calibri" w:hAnsi="Calibri" w:cs="Arial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>
        <w:rPr>
          <w:rFonts w:ascii="Calibri" w:hAnsi="Calibri" w:cs="Arial"/>
        </w:rPr>
        <w:t>_____________________________________</w:t>
      </w:r>
      <w:r w:rsidRPr="00016B6B">
        <w:rPr>
          <w:rFonts w:ascii="Calibri" w:hAnsi="Calibr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Pr="00016B6B">
        <w:rPr>
          <w:rFonts w:ascii="Calibri" w:hAnsi="Calibri" w:cs="Arial"/>
          <w:i/>
          <w:sz w:val="18"/>
          <w:szCs w:val="18"/>
        </w:rPr>
        <w:t>(miejscowość, data)</w:t>
      </w:r>
    </w:p>
    <w:p w14:paraId="149FC336" w14:textId="77777777" w:rsidR="00C33E39" w:rsidRPr="00860A8B" w:rsidRDefault="00C33E39" w:rsidP="00C33E39">
      <w:pPr>
        <w:rPr>
          <w:rFonts w:ascii="Calibri" w:hAnsi="Calibri" w:cs="Arial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CD5B8A">
        <w:rPr>
          <w:rFonts w:ascii="Calibri" w:hAnsi="Calibri" w:cs="Arial"/>
        </w:rPr>
        <w:t>____________________________________________</w:t>
      </w:r>
    </w:p>
    <w:p w14:paraId="501099A0" w14:textId="77777777" w:rsidR="00C33E39" w:rsidRPr="00C33E39" w:rsidRDefault="00C33E39" w:rsidP="00C33E39">
      <w:pPr>
        <w:rPr>
          <w:rFonts w:ascii="Calibri" w:hAnsi="Calibri"/>
          <w:i/>
          <w:sz w:val="18"/>
          <w:szCs w:val="18"/>
        </w:rPr>
      </w:pP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  <w:t xml:space="preserve">      </w:t>
      </w:r>
      <w:r>
        <w:rPr>
          <w:rFonts w:ascii="Calibri" w:hAnsi="Calibri" w:cs="Arial"/>
          <w:sz w:val="20"/>
        </w:rPr>
        <w:t xml:space="preserve">          </w:t>
      </w:r>
      <w:r w:rsidRPr="00860A8B">
        <w:rPr>
          <w:rFonts w:ascii="Calibri" w:hAnsi="Calibri" w:cs="Arial"/>
          <w:sz w:val="20"/>
        </w:rPr>
        <w:t xml:space="preserve">   </w:t>
      </w:r>
      <w:r>
        <w:rPr>
          <w:rFonts w:ascii="Calibri" w:hAnsi="Calibri" w:cs="Arial"/>
          <w:sz w:val="20"/>
        </w:rPr>
        <w:t xml:space="preserve">        </w:t>
      </w:r>
      <w:r w:rsidRPr="00860A8B">
        <w:rPr>
          <w:rFonts w:ascii="Calibri" w:hAnsi="Calibri" w:cs="Arial"/>
          <w:sz w:val="20"/>
        </w:rPr>
        <w:t xml:space="preserve">    </w:t>
      </w:r>
      <w:r w:rsidRPr="00016B6B">
        <w:rPr>
          <w:rFonts w:ascii="Calibri" w:hAnsi="Calibri"/>
          <w:i/>
          <w:sz w:val="18"/>
          <w:szCs w:val="18"/>
        </w:rPr>
        <w:t>(imię i nazwisko)</w:t>
      </w:r>
    </w:p>
    <w:p w14:paraId="27E27302" w14:textId="77777777" w:rsidR="00C33E39" w:rsidRPr="00016B6B" w:rsidRDefault="00C33E39" w:rsidP="004C6989">
      <w:pPr>
        <w:rPr>
          <w:rFonts w:ascii="Calibri" w:hAnsi="Calibri"/>
          <w:i/>
          <w:sz w:val="18"/>
          <w:szCs w:val="18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</w:p>
    <w:p w14:paraId="3562CC13" w14:textId="77777777" w:rsidR="00C33E39" w:rsidRPr="00860A8B" w:rsidRDefault="00C33E39" w:rsidP="00C33E39">
      <w:pPr>
        <w:rPr>
          <w:rFonts w:ascii="Calibri" w:hAnsi="Calibri" w:cs="Arial"/>
        </w:rPr>
      </w:pPr>
    </w:p>
    <w:p w14:paraId="2A3BBF28" w14:textId="77777777" w:rsidR="00C33E39" w:rsidRPr="00860A8B" w:rsidRDefault="00C33E39" w:rsidP="00C33E39">
      <w:pPr>
        <w:jc w:val="center"/>
        <w:rPr>
          <w:rFonts w:ascii="Calibri" w:hAnsi="Calibri" w:cs="Arial"/>
          <w:b/>
          <w:sz w:val="28"/>
          <w:szCs w:val="28"/>
          <w:vertAlign w:val="superscript"/>
        </w:rPr>
      </w:pPr>
      <w:r w:rsidRPr="00860A8B">
        <w:rPr>
          <w:rFonts w:ascii="Calibri" w:hAnsi="Calibri" w:cs="Arial"/>
          <w:b/>
          <w:spacing w:val="42"/>
          <w:sz w:val="32"/>
          <w:szCs w:val="32"/>
        </w:rPr>
        <w:t>OŚW</w:t>
      </w:r>
      <w:r w:rsidR="00501559">
        <w:rPr>
          <w:rFonts w:ascii="Calibri" w:hAnsi="Calibri" w:cs="Arial"/>
          <w:b/>
          <w:spacing w:val="42"/>
          <w:sz w:val="32"/>
          <w:szCs w:val="32"/>
        </w:rPr>
        <w:t>IADCZENIE</w:t>
      </w:r>
    </w:p>
    <w:p w14:paraId="51213B98" w14:textId="77777777" w:rsidR="00C33E39" w:rsidRPr="00860A8B" w:rsidRDefault="00C33E39" w:rsidP="00C33E39">
      <w:pPr>
        <w:rPr>
          <w:rFonts w:ascii="Calibri" w:hAnsi="Calibri"/>
        </w:rPr>
      </w:pPr>
    </w:p>
    <w:p w14:paraId="02F81CCD" w14:textId="77777777"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 xml:space="preserve">Zobowiązuję się w stosunku do Zamawiającego do niewykorzystywania pozyskanych, </w:t>
      </w:r>
      <w:r>
        <w:rPr>
          <w:rFonts w:ascii="Times New Roman" w:hAnsi="Times New Roman"/>
          <w:sz w:val="24"/>
          <w:szCs w:val="24"/>
        </w:rPr>
        <w:t>w </w:t>
      </w:r>
      <w:r w:rsidRPr="00501559">
        <w:rPr>
          <w:rFonts w:ascii="Times New Roman" w:hAnsi="Times New Roman"/>
          <w:sz w:val="24"/>
          <w:szCs w:val="24"/>
        </w:rPr>
        <w:t>związku z realizacją umowy, informacji w celach innych niż określone w niniejszej umowie.</w:t>
      </w:r>
    </w:p>
    <w:p w14:paraId="03758B24" w14:textId="77777777"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>Zobowiązuję się do przestrzegania tajemnicy danych osobowych, określonych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501559">
        <w:rPr>
          <w:rFonts w:ascii="Times New Roman" w:hAnsi="Times New Roman"/>
          <w:sz w:val="24"/>
          <w:szCs w:val="24"/>
        </w:rPr>
        <w:t>rozporządzeniu Parlamentu Europejskiego i Rady (UE) 2016/679 z dnia 27 kwietnia 2016r. w sprawie ochrony osób fizycznych w związku z przetwarzaniem danych osobowych i w sprawie swobodnego przepływu takich danych.</w:t>
      </w:r>
    </w:p>
    <w:p w14:paraId="4F678D11" w14:textId="77777777"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>Zobowiązuję się zachować w tajemnicy wszelkie informacje dotyczące Zamawiającego lub działalności przez niego prowadzonej, które znajdą się w moim posiadaniu w związku z realizacją niniejszej umowy. Postanowienie to nie odnosi się do informacji, które są powszechnie znane lub zostaną podane do wiadomości publicznej samodzielnie przez Zamawiającego.</w:t>
      </w:r>
    </w:p>
    <w:p w14:paraId="529B9D5B" w14:textId="77777777" w:rsidR="00A148C5" w:rsidRPr="00B825F1" w:rsidRDefault="00A148C5" w:rsidP="005015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148C5" w:rsidRPr="00B825F1" w:rsidSect="0053291C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-Roman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8FA058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A8901842"/>
    <w:lvl w:ilvl="0" w:tplc="FD8EE252">
      <w:start w:val="1"/>
      <w:numFmt w:val="decimal"/>
      <w:pStyle w:val="Considrant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AD67308"/>
    <w:multiLevelType w:val="hybridMultilevel"/>
    <w:tmpl w:val="ADE01986"/>
    <w:lvl w:ilvl="0" w:tplc="4EDE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D6EE1"/>
    <w:multiLevelType w:val="hybridMultilevel"/>
    <w:tmpl w:val="A920E454"/>
    <w:lvl w:ilvl="0" w:tplc="32E27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B435B7"/>
    <w:multiLevelType w:val="singleLevel"/>
    <w:tmpl w:val="99F01D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7901EE"/>
    <w:multiLevelType w:val="hybridMultilevel"/>
    <w:tmpl w:val="D3B43AE0"/>
    <w:lvl w:ilvl="0" w:tplc="C7EE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20A9D"/>
    <w:multiLevelType w:val="hybridMultilevel"/>
    <w:tmpl w:val="DA3E35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EC332A"/>
    <w:multiLevelType w:val="hybridMultilevel"/>
    <w:tmpl w:val="F8706D5E"/>
    <w:lvl w:ilvl="0" w:tplc="574C99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6D41"/>
    <w:multiLevelType w:val="hybridMultilevel"/>
    <w:tmpl w:val="3F6A2CA2"/>
    <w:lvl w:ilvl="0" w:tplc="FD8EE25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2E6B"/>
    <w:multiLevelType w:val="hybridMultilevel"/>
    <w:tmpl w:val="044C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3791"/>
    <w:multiLevelType w:val="hybridMultilevel"/>
    <w:tmpl w:val="099AB470"/>
    <w:lvl w:ilvl="0" w:tplc="FD8EE25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1140B"/>
    <w:multiLevelType w:val="singleLevel"/>
    <w:tmpl w:val="37CCE4C6"/>
    <w:lvl w:ilvl="0">
      <w:start w:val="1"/>
      <w:numFmt w:val="decimal"/>
      <w:pStyle w:val="ZnakZnak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6" w15:restartNumberingAfterBreak="0">
    <w:nsid w:val="545A553F"/>
    <w:multiLevelType w:val="hybridMultilevel"/>
    <w:tmpl w:val="4168B63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5DD39E5"/>
    <w:multiLevelType w:val="hybridMultilevel"/>
    <w:tmpl w:val="91E0A53E"/>
    <w:lvl w:ilvl="0" w:tplc="DE98086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763CE"/>
    <w:multiLevelType w:val="hybridMultilevel"/>
    <w:tmpl w:val="23F24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66A58"/>
    <w:multiLevelType w:val="singleLevel"/>
    <w:tmpl w:val="9086EB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</w:rPr>
    </w:lvl>
  </w:abstractNum>
  <w:abstractNum w:abstractNumId="20" w15:restartNumberingAfterBreak="0">
    <w:nsid w:val="62BD2764"/>
    <w:multiLevelType w:val="hybridMultilevel"/>
    <w:tmpl w:val="0E0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07D09"/>
    <w:multiLevelType w:val="hybridMultilevel"/>
    <w:tmpl w:val="1F881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E8E"/>
    <w:multiLevelType w:val="singleLevel"/>
    <w:tmpl w:val="3BFCC6E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BF30FF7"/>
    <w:multiLevelType w:val="singleLevel"/>
    <w:tmpl w:val="43C07F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D472E1"/>
    <w:multiLevelType w:val="hybridMultilevel"/>
    <w:tmpl w:val="24F2DF46"/>
    <w:lvl w:ilvl="0" w:tplc="FD8EE2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CE0BAD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F3EE5"/>
    <w:multiLevelType w:val="multilevel"/>
    <w:tmpl w:val="27A8C580"/>
    <w:lvl w:ilvl="0">
      <w:start w:val="1"/>
      <w:numFmt w:val="decimal"/>
      <w:pStyle w:val="ABGNagwek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ABGNagwek2"/>
      <w:lvlText w:val="%1.%2"/>
      <w:lvlJc w:val="left"/>
      <w:pPr>
        <w:tabs>
          <w:tab w:val="num" w:pos="862"/>
        </w:tabs>
        <w:ind w:left="477" w:hanging="335"/>
      </w:pPr>
    </w:lvl>
    <w:lvl w:ilvl="2">
      <w:start w:val="1"/>
      <w:numFmt w:val="decimal"/>
      <w:pStyle w:val="ABGNagwek3"/>
      <w:suff w:val="space"/>
      <w:lvlText w:val="%1.%2.%3"/>
      <w:lvlJc w:val="left"/>
      <w:pPr>
        <w:ind w:left="6805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BGNagwek4"/>
      <w:lvlText w:val="%1.%2.%3.%4"/>
      <w:lvlJc w:val="left"/>
      <w:pPr>
        <w:tabs>
          <w:tab w:val="num" w:pos="1080"/>
        </w:tabs>
        <w:ind w:left="-48" w:firstLine="48"/>
      </w:pPr>
    </w:lvl>
    <w:lvl w:ilvl="4">
      <w:start w:val="1"/>
      <w:numFmt w:val="decimal"/>
      <w:pStyle w:val="ABGNagwek4"/>
      <w:lvlText w:val="%1.%2.%3.%4.%5"/>
      <w:lvlJc w:val="left"/>
      <w:pPr>
        <w:tabs>
          <w:tab w:val="num" w:pos="2008"/>
        </w:tabs>
        <w:ind w:left="664" w:hanging="96"/>
      </w:pPr>
    </w:lvl>
    <w:lvl w:ilvl="5">
      <w:start w:val="1"/>
      <w:numFmt w:val="decimal"/>
      <w:pStyle w:val="ABGNagwek6"/>
      <w:lvlText w:val="%1.%2.%3.%4.%5.%6"/>
      <w:lvlJc w:val="left"/>
      <w:pPr>
        <w:tabs>
          <w:tab w:val="num" w:pos="240"/>
        </w:tabs>
        <w:ind w:left="240" w:hanging="240"/>
      </w:pPr>
    </w:lvl>
    <w:lvl w:ilvl="6">
      <w:start w:val="1"/>
      <w:numFmt w:val="decimal"/>
      <w:pStyle w:val="ABGNagwek7"/>
      <w:lvlText w:val="%1.%2.%3.%4.%5.%6.%7"/>
      <w:lvlJc w:val="left"/>
      <w:pPr>
        <w:tabs>
          <w:tab w:val="num" w:pos="384"/>
        </w:tabs>
        <w:ind w:left="384" w:hanging="384"/>
      </w:pPr>
    </w:lvl>
    <w:lvl w:ilvl="7">
      <w:start w:val="1"/>
      <w:numFmt w:val="decimal"/>
      <w:pStyle w:val="ABGNagwek8"/>
      <w:lvlText w:val="%1.%2.%3.%4.%5.%6.%7.%8"/>
      <w:lvlJc w:val="left"/>
      <w:pPr>
        <w:tabs>
          <w:tab w:val="num" w:pos="528"/>
        </w:tabs>
        <w:ind w:left="528" w:hanging="528"/>
      </w:pPr>
    </w:lvl>
    <w:lvl w:ilvl="8">
      <w:start w:val="1"/>
      <w:numFmt w:val="decimal"/>
      <w:pStyle w:val="ABGNagwek8"/>
      <w:lvlText w:val="%1.%2.%3.%4.%5.%6.%7.%8.%9"/>
      <w:lvlJc w:val="left"/>
      <w:pPr>
        <w:tabs>
          <w:tab w:val="num" w:pos="672"/>
        </w:tabs>
        <w:ind w:left="672" w:hanging="672"/>
      </w:pPr>
    </w:lvl>
  </w:abstractNum>
  <w:abstractNum w:abstractNumId="26" w15:restartNumberingAfterBreak="0">
    <w:nsid w:val="74A52A42"/>
    <w:multiLevelType w:val="hybridMultilevel"/>
    <w:tmpl w:val="A456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04F49"/>
    <w:multiLevelType w:val="singleLevel"/>
    <w:tmpl w:val="50B6E8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9"/>
  </w:num>
  <w:num w:numId="5">
    <w:abstractNumId w:val="23"/>
  </w:num>
  <w:num w:numId="6">
    <w:abstractNumId w:val="22"/>
  </w:num>
  <w:num w:numId="7">
    <w:abstractNumId w:val="27"/>
  </w:num>
  <w:num w:numId="8">
    <w:abstractNumId w:val="8"/>
  </w:num>
  <w:num w:numId="9">
    <w:abstractNumId w:val="13"/>
  </w:num>
  <w:num w:numId="10">
    <w:abstractNumId w:val="15"/>
  </w:num>
  <w:num w:numId="11">
    <w:abstractNumId w:val="0"/>
  </w:num>
  <w:num w:numId="12">
    <w:abstractNumId w:val="20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</w:num>
  <w:num w:numId="17">
    <w:abstractNumId w:val="21"/>
  </w:num>
  <w:num w:numId="18">
    <w:abstractNumId w:val="12"/>
  </w:num>
  <w:num w:numId="19">
    <w:abstractNumId w:val="24"/>
  </w:num>
  <w:num w:numId="20">
    <w:abstractNumId w:val="9"/>
  </w:num>
  <w:num w:numId="21">
    <w:abstractNumId w:val="6"/>
  </w:num>
  <w:num w:numId="22">
    <w:abstractNumId w:val="7"/>
  </w:num>
  <w:num w:numId="23">
    <w:abstractNumId w:val="11"/>
  </w:num>
  <w:num w:numId="24">
    <w:abstractNumId w:val="14"/>
  </w:num>
  <w:num w:numId="25">
    <w:abstractNumId w:val="16"/>
  </w:num>
  <w:num w:numId="26">
    <w:abstractNumId w:val="26"/>
  </w:num>
  <w:num w:numId="2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2"/>
    <w:rsid w:val="000047CF"/>
    <w:rsid w:val="0001545A"/>
    <w:rsid w:val="000745ED"/>
    <w:rsid w:val="0009279B"/>
    <w:rsid w:val="00095016"/>
    <w:rsid w:val="000A2BE9"/>
    <w:rsid w:val="000B4B69"/>
    <w:rsid w:val="00115316"/>
    <w:rsid w:val="001217D3"/>
    <w:rsid w:val="00190BE5"/>
    <w:rsid w:val="0019788E"/>
    <w:rsid w:val="001A5CB0"/>
    <w:rsid w:val="001A7C68"/>
    <w:rsid w:val="001B2A30"/>
    <w:rsid w:val="001B30C4"/>
    <w:rsid w:val="001B6790"/>
    <w:rsid w:val="001C37ED"/>
    <w:rsid w:val="001C6C36"/>
    <w:rsid w:val="001E0704"/>
    <w:rsid w:val="0020002B"/>
    <w:rsid w:val="00275315"/>
    <w:rsid w:val="002B7E4C"/>
    <w:rsid w:val="002D3F53"/>
    <w:rsid w:val="002E7A12"/>
    <w:rsid w:val="002F1D4E"/>
    <w:rsid w:val="002F3754"/>
    <w:rsid w:val="002F5023"/>
    <w:rsid w:val="0032777C"/>
    <w:rsid w:val="00362A87"/>
    <w:rsid w:val="00371E29"/>
    <w:rsid w:val="00375B0C"/>
    <w:rsid w:val="003B0848"/>
    <w:rsid w:val="003E6BB2"/>
    <w:rsid w:val="0043448E"/>
    <w:rsid w:val="004C6989"/>
    <w:rsid w:val="004E6C34"/>
    <w:rsid w:val="004F77BD"/>
    <w:rsid w:val="00500717"/>
    <w:rsid w:val="00501559"/>
    <w:rsid w:val="0053291C"/>
    <w:rsid w:val="00537C36"/>
    <w:rsid w:val="00551F76"/>
    <w:rsid w:val="00580F7D"/>
    <w:rsid w:val="005A0016"/>
    <w:rsid w:val="00673FCB"/>
    <w:rsid w:val="00687B85"/>
    <w:rsid w:val="006C5B64"/>
    <w:rsid w:val="006C6D70"/>
    <w:rsid w:val="006D03E4"/>
    <w:rsid w:val="00700A63"/>
    <w:rsid w:val="007209C4"/>
    <w:rsid w:val="00761FD5"/>
    <w:rsid w:val="0077390D"/>
    <w:rsid w:val="00792745"/>
    <w:rsid w:val="007A3FE6"/>
    <w:rsid w:val="007B0732"/>
    <w:rsid w:val="007E6541"/>
    <w:rsid w:val="00846829"/>
    <w:rsid w:val="0085645F"/>
    <w:rsid w:val="00897DBB"/>
    <w:rsid w:val="00920C1A"/>
    <w:rsid w:val="009478FC"/>
    <w:rsid w:val="00A023D6"/>
    <w:rsid w:val="00A148C5"/>
    <w:rsid w:val="00A15558"/>
    <w:rsid w:val="00A25639"/>
    <w:rsid w:val="00A46CC4"/>
    <w:rsid w:val="00A4730E"/>
    <w:rsid w:val="00AC738C"/>
    <w:rsid w:val="00AD54D0"/>
    <w:rsid w:val="00AF3B61"/>
    <w:rsid w:val="00B23CBC"/>
    <w:rsid w:val="00B357AE"/>
    <w:rsid w:val="00B53940"/>
    <w:rsid w:val="00B721D4"/>
    <w:rsid w:val="00B77D1B"/>
    <w:rsid w:val="00B825F1"/>
    <w:rsid w:val="00BB5CDA"/>
    <w:rsid w:val="00BD6FA2"/>
    <w:rsid w:val="00C00B27"/>
    <w:rsid w:val="00C059BD"/>
    <w:rsid w:val="00C33E39"/>
    <w:rsid w:val="00C5107A"/>
    <w:rsid w:val="00C7210C"/>
    <w:rsid w:val="00C802EE"/>
    <w:rsid w:val="00C906E9"/>
    <w:rsid w:val="00CC0FA5"/>
    <w:rsid w:val="00CD5B8A"/>
    <w:rsid w:val="00D16270"/>
    <w:rsid w:val="00D416E4"/>
    <w:rsid w:val="00D53C48"/>
    <w:rsid w:val="00D66462"/>
    <w:rsid w:val="00D92C93"/>
    <w:rsid w:val="00DB5027"/>
    <w:rsid w:val="00E03A35"/>
    <w:rsid w:val="00E3355F"/>
    <w:rsid w:val="00E457EB"/>
    <w:rsid w:val="00E52034"/>
    <w:rsid w:val="00EA5DC6"/>
    <w:rsid w:val="00EE3839"/>
    <w:rsid w:val="00F10A0F"/>
    <w:rsid w:val="00F446B9"/>
    <w:rsid w:val="00F46D5E"/>
    <w:rsid w:val="00F66A9E"/>
    <w:rsid w:val="00F704B8"/>
    <w:rsid w:val="00F9115B"/>
    <w:rsid w:val="00FA5BFB"/>
    <w:rsid w:val="00FB55A2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1BBE"/>
  <w14:defaultImageDpi w14:val="0"/>
  <w15:docId w15:val="{3CF322BA-CDE1-4C0C-8DD8-C6C699A3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5C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aliases w:val="heading 2,Heading 2 Hidden"/>
    <w:basedOn w:val="Normalny"/>
    <w:next w:val="Normalny"/>
    <w:link w:val="Nagwek2Znak"/>
    <w:qFormat/>
    <w:rsid w:val="001A5C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1A5CB0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A5CB0"/>
    <w:pPr>
      <w:keepNext/>
      <w:tabs>
        <w:tab w:val="left" w:pos="1134"/>
      </w:tabs>
      <w:spacing w:after="0" w:line="240" w:lineRule="auto"/>
      <w:ind w:firstLine="1276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A5CB0"/>
    <w:pPr>
      <w:keepNext/>
      <w:spacing w:after="120" w:line="240" w:lineRule="auto"/>
      <w:outlineLvl w:val="4"/>
    </w:pPr>
    <w:rPr>
      <w:rFonts w:ascii="Times New Roman" w:eastAsia="Times New Roman" w:hAnsi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A5CB0"/>
    <w:pPr>
      <w:keepNext/>
      <w:spacing w:after="0" w:line="240" w:lineRule="auto"/>
      <w:ind w:left="525"/>
      <w:jc w:val="both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1A5CB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1A5C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1A5CB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7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5A0016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1A5CB0"/>
    <w:rPr>
      <w:rFonts w:ascii="Times New Roman" w:eastAsia="Times New Roman" w:hAnsi="Times New Roman"/>
      <w:b/>
      <w:sz w:val="28"/>
      <w:szCs w:val="20"/>
    </w:rPr>
  </w:style>
  <w:style w:type="character" w:customStyle="1" w:styleId="Nagwek2Znak">
    <w:name w:val="Nagłówek 2 Znak"/>
    <w:aliases w:val="heading 2 Znak,Heading 2 Hidden Znak"/>
    <w:basedOn w:val="Domylnaczcionkaakapitu"/>
    <w:link w:val="Nagwek2"/>
    <w:rsid w:val="001A5CB0"/>
    <w:rPr>
      <w:rFonts w:ascii="Times New Roman" w:eastAsia="Times New Roman" w:hAnsi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1A5CB0"/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A5CB0"/>
    <w:rPr>
      <w:rFonts w:ascii="Times New Roman" w:eastAsia="Times New Roman" w:hAnsi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1A5CB0"/>
    <w:rPr>
      <w:rFonts w:ascii="Times New Roman" w:eastAsia="Times New Roman" w:hAnsi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A5CB0"/>
    <w:rPr>
      <w:rFonts w:ascii="Times New Roman" w:eastAsia="Times New Roman" w:hAnsi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1A5CB0"/>
    <w:rPr>
      <w:rFonts w:ascii="Times New Roman" w:eastAsia="Times New Roman" w:hAnsi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1A5CB0"/>
    <w:rPr>
      <w:rFonts w:ascii="Times New Roman" w:eastAsia="Times New Roman" w:hAnsi="Times New Roman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1A5CB0"/>
    <w:rPr>
      <w:rFonts w:ascii="Times New Roman" w:eastAsia="Times New Roman" w:hAnsi="Times New Roman"/>
      <w:b/>
      <w:sz w:val="72"/>
      <w:szCs w:val="20"/>
    </w:rPr>
  </w:style>
  <w:style w:type="numbering" w:customStyle="1" w:styleId="Bezlisty1">
    <w:name w:val="Bez listy1"/>
    <w:next w:val="Bezlisty"/>
    <w:link w:val="ZnakZnak"/>
    <w:semiHidden/>
    <w:rsid w:val="001A5CB0"/>
  </w:style>
  <w:style w:type="paragraph" w:customStyle="1" w:styleId="ZnakZnak">
    <w:name w:val="Znak Znak"/>
    <w:basedOn w:val="Normalny"/>
    <w:link w:val="Bezlisty1"/>
    <w:rsid w:val="001A5CB0"/>
    <w:pPr>
      <w:numPr>
        <w:numId w:val="10"/>
      </w:numPr>
      <w:tabs>
        <w:tab w:val="clear" w:pos="709"/>
      </w:tabs>
      <w:spacing w:after="0" w:line="360" w:lineRule="auto"/>
      <w:ind w:left="0" w:firstLine="0"/>
      <w:jc w:val="both"/>
    </w:pPr>
    <w:rPr>
      <w:rFonts w:ascii="Verdana" w:eastAsia="Times New Roman" w:hAnsi="Verdana"/>
      <w:sz w:val="20"/>
      <w:szCs w:val="20"/>
    </w:rPr>
  </w:style>
  <w:style w:type="paragraph" w:customStyle="1" w:styleId="Considrant">
    <w:name w:val="Considérant"/>
    <w:basedOn w:val="Normalny"/>
    <w:rsid w:val="001A5CB0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kstpodstawowy21">
    <w:name w:val="Tekst podstawowy 21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1A5CB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A5CB0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rsid w:val="001A5CB0"/>
    <w:pPr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1A5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A5CB0"/>
    <w:rPr>
      <w:rFonts w:ascii="Courier New" w:eastAsia="Courier New" w:hAnsi="Courier New"/>
      <w:sz w:val="20"/>
      <w:szCs w:val="20"/>
    </w:rPr>
  </w:style>
  <w:style w:type="paragraph" w:styleId="Tekstblokowy">
    <w:name w:val="Block Text"/>
    <w:basedOn w:val="Normalny"/>
    <w:rsid w:val="001A5CB0"/>
    <w:pPr>
      <w:spacing w:after="0" w:line="240" w:lineRule="auto"/>
      <w:ind w:left="-567" w:right="3685" w:firstLine="567"/>
    </w:pPr>
    <w:rPr>
      <w:rFonts w:ascii="Times New Roman" w:eastAsia="Times New Roman" w:hAnsi="Times New Roman"/>
      <w:sz w:val="16"/>
      <w:szCs w:val="20"/>
    </w:rPr>
  </w:style>
  <w:style w:type="paragraph" w:styleId="Tekstpodstawowy2">
    <w:name w:val="Body Text 2"/>
    <w:basedOn w:val="Normalny"/>
    <w:link w:val="Tekstpodstawowy2Znak"/>
    <w:rsid w:val="001A5CB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A5CB0"/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1A5CB0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5CB0"/>
    <w:rPr>
      <w:rFonts w:ascii="Times New Roman" w:eastAsia="Times New Roman" w:hAnsi="Times New Roman"/>
      <w:sz w:val="26"/>
      <w:szCs w:val="20"/>
    </w:rPr>
  </w:style>
  <w:style w:type="paragraph" w:styleId="Tekstpodstawowywcity2">
    <w:name w:val="Body Text Indent 2"/>
    <w:basedOn w:val="Normalny"/>
    <w:link w:val="Tekstpodstawowywcity2Znak"/>
    <w:rsid w:val="001A5CB0"/>
    <w:pPr>
      <w:spacing w:after="0" w:line="240" w:lineRule="auto"/>
      <w:ind w:left="900" w:hanging="18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5CB0"/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rsid w:val="001A5C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A5CB0"/>
    <w:rPr>
      <w:rFonts w:ascii="Times New Roman" w:eastAsia="Times New Roman" w:hAnsi="Times New Roman"/>
      <w:sz w:val="24"/>
      <w:szCs w:val="20"/>
    </w:rPr>
  </w:style>
  <w:style w:type="paragraph" w:customStyle="1" w:styleId="Rub1">
    <w:name w:val="Rub1"/>
    <w:basedOn w:val="Normalny"/>
    <w:rsid w:val="001A5CB0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b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rsid w:val="001A5CB0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A5CB0"/>
    <w:rPr>
      <w:rFonts w:ascii="Times New Roman" w:eastAsia="Times New Roman" w:hAnsi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1A5CB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5CB0"/>
    <w:rPr>
      <w:rFonts w:ascii="Times New Roman" w:eastAsia="Times New Roman" w:hAnsi="Times New Roman"/>
      <w:sz w:val="24"/>
      <w:szCs w:val="20"/>
    </w:rPr>
  </w:style>
  <w:style w:type="paragraph" w:styleId="Stopka">
    <w:name w:val="footer"/>
    <w:basedOn w:val="Normalny"/>
    <w:link w:val="StopkaZnak"/>
    <w:rsid w:val="001A5CB0"/>
    <w:pPr>
      <w:spacing w:after="0" w:line="240" w:lineRule="auto"/>
    </w:pPr>
    <w:rPr>
      <w:rFonts w:ascii="Arial" w:eastAsia="Times New Roman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1A5CB0"/>
    <w:rPr>
      <w:rFonts w:ascii="Arial" w:eastAsia="Times New Roman" w:hAnsi="Arial"/>
      <w:sz w:val="16"/>
      <w:szCs w:val="20"/>
      <w:lang w:val="fr-FR"/>
    </w:rPr>
  </w:style>
  <w:style w:type="character" w:styleId="Hipercze">
    <w:name w:val="Hyperlink"/>
    <w:rsid w:val="001A5CB0"/>
    <w:rPr>
      <w:color w:val="0000FF"/>
      <w:u w:val="single"/>
    </w:rPr>
  </w:style>
  <w:style w:type="character" w:styleId="Numerstrony">
    <w:name w:val="page number"/>
    <w:basedOn w:val="Domylnaczcionkaakapitu"/>
    <w:rsid w:val="001A5CB0"/>
  </w:style>
  <w:style w:type="character" w:styleId="UyteHipercze">
    <w:name w:val="FollowedHyperlink"/>
    <w:rsid w:val="001A5CB0"/>
    <w:rPr>
      <w:color w:val="800080"/>
      <w:u w:val="single"/>
    </w:rPr>
  </w:style>
  <w:style w:type="table" w:styleId="Tabela-Siatka">
    <w:name w:val="Table Grid"/>
    <w:basedOn w:val="Standardowy"/>
    <w:uiPriority w:val="59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rsid w:val="001A5CB0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1A5CB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A5CB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A5CB0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dane1">
    <w:name w:val="dane1"/>
    <w:rsid w:val="001A5CB0"/>
    <w:rPr>
      <w:color w:val="0000CD"/>
    </w:rPr>
  </w:style>
  <w:style w:type="paragraph" w:customStyle="1" w:styleId="msonormalcxsppierwsze">
    <w:name w:val="msonormalcxsppierwsze"/>
    <w:basedOn w:val="Normalny"/>
    <w:rsid w:val="001A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ny"/>
    <w:rsid w:val="001A5CB0"/>
    <w:pPr>
      <w:pBdr>
        <w:left w:val="single" w:sz="4" w:space="0" w:color="auto"/>
      </w:pBdr>
      <w:spacing w:before="100" w:after="100" w:line="240" w:lineRule="auto"/>
      <w:jc w:val="center"/>
    </w:pPr>
    <w:rPr>
      <w:rFonts w:ascii="Arial" w:eastAsia="Arial Unicode MS" w:hAnsi="Arial"/>
      <w:sz w:val="24"/>
      <w:szCs w:val="20"/>
    </w:rPr>
  </w:style>
  <w:style w:type="paragraph" w:customStyle="1" w:styleId="Styl1">
    <w:name w:val="Styl1"/>
    <w:basedOn w:val="Normalny"/>
    <w:rsid w:val="001A5CB0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</w:rPr>
  </w:style>
  <w:style w:type="paragraph" w:customStyle="1" w:styleId="Skrconyadreszwrotny">
    <w:name w:val="Skrócony adres zwrotny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A5C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A5CB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1A5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CB0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A5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CB0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dyText21">
    <w:name w:val="Body Text 21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abela1">
    <w:name w:val="tabela1"/>
    <w:rsid w:val="001A5CB0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rsid w:val="001A5CB0"/>
    <w:rPr>
      <w:sz w:val="24"/>
      <w:lang w:val="pl-PL" w:eastAsia="pl-PL" w:bidi="ar-SA"/>
    </w:rPr>
  </w:style>
  <w:style w:type="character" w:customStyle="1" w:styleId="text1">
    <w:name w:val="text1"/>
    <w:rsid w:val="001A5CB0"/>
    <w:rPr>
      <w:rFonts w:ascii="Verdana" w:hAnsi="Verdana" w:hint="default"/>
      <w:color w:val="000000"/>
      <w:sz w:val="20"/>
      <w:szCs w:val="20"/>
    </w:rPr>
  </w:style>
  <w:style w:type="character" w:customStyle="1" w:styleId="textbold">
    <w:name w:val="text bold"/>
    <w:basedOn w:val="Domylnaczcionkaakapitu"/>
    <w:rsid w:val="001A5CB0"/>
  </w:style>
  <w:style w:type="character" w:customStyle="1" w:styleId="ZnakZnak4">
    <w:name w:val="Znak Znak4"/>
    <w:rsid w:val="001A5CB0"/>
    <w:rPr>
      <w:b/>
      <w:sz w:val="24"/>
      <w:lang w:val="pl-PL" w:eastAsia="pl-PL" w:bidi="ar-SA"/>
    </w:rPr>
  </w:style>
  <w:style w:type="paragraph" w:customStyle="1" w:styleId="Styl">
    <w:name w:val="Styl"/>
    <w:rsid w:val="001A5CB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1A5C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1A5CB0"/>
    <w:pPr>
      <w:spacing w:after="0" w:line="240" w:lineRule="auto"/>
      <w:ind w:left="284"/>
      <w:jc w:val="both"/>
    </w:pPr>
    <w:rPr>
      <w:rFonts w:ascii="Times New Roman" w:eastAsia="Calibri" w:hAnsi="Times New Roman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1A5C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1A5CB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en-US" w:eastAsia="ar-SA"/>
    </w:rPr>
  </w:style>
  <w:style w:type="character" w:customStyle="1" w:styleId="ZwykytekstZnak">
    <w:name w:val="Zwykły tekst Znak"/>
    <w:basedOn w:val="Domylnaczcionkaakapitu"/>
    <w:link w:val="Zwykytekst"/>
    <w:rsid w:val="001A5CB0"/>
    <w:rPr>
      <w:rFonts w:ascii="Courier New" w:eastAsia="Times New Roman" w:hAnsi="Courier New"/>
      <w:sz w:val="20"/>
      <w:szCs w:val="20"/>
      <w:lang w:val="en-US" w:eastAsia="ar-SA"/>
    </w:rPr>
  </w:style>
  <w:style w:type="paragraph" w:customStyle="1" w:styleId="Default">
    <w:name w:val="Default"/>
    <w:rsid w:val="001A5C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A5CB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rsid w:val="001A5CB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1A5CB0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1A5CB0"/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customStyle="1" w:styleId="Tekstpodstawowywcity31">
    <w:name w:val="Tekst podstawowy wcięty 31"/>
    <w:basedOn w:val="Normalny"/>
    <w:rsid w:val="001A5CB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ustp">
    <w:name w:val="ustęp"/>
    <w:basedOn w:val="Normalny"/>
    <w:uiPriority w:val="99"/>
    <w:rsid w:val="001A5CB0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/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1A5CB0"/>
    <w:pPr>
      <w:spacing w:after="0" w:line="240" w:lineRule="auto"/>
      <w:jc w:val="right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Odwoanieprzypisudolnego">
    <w:name w:val="footnote reference"/>
    <w:uiPriority w:val="99"/>
    <w:rsid w:val="001A5CB0"/>
    <w:rPr>
      <w:rFonts w:cs="Times New Roman"/>
      <w:vertAlign w:val="superscript"/>
    </w:rPr>
  </w:style>
  <w:style w:type="paragraph" w:customStyle="1" w:styleId="Wyrnieniedelikatne1">
    <w:name w:val="Wyróżnienie delikatne1"/>
    <w:basedOn w:val="Normalny"/>
    <w:uiPriority w:val="34"/>
    <w:qFormat/>
    <w:rsid w:val="001A5CB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ZnakZnak2">
    <w:name w:val="Znak Znak2"/>
    <w:basedOn w:val="Normalny"/>
    <w:rsid w:val="001A5CB0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  <w:style w:type="paragraph" w:styleId="Listanumerowana2">
    <w:name w:val="List Number 2"/>
    <w:basedOn w:val="Normalny"/>
    <w:uiPriority w:val="99"/>
    <w:rsid w:val="001A5CB0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anumerowana3">
    <w:name w:val="List Number 3"/>
    <w:basedOn w:val="Normalny"/>
    <w:autoRedefine/>
    <w:uiPriority w:val="99"/>
    <w:unhideWhenUsed/>
    <w:rsid w:val="001A5CB0"/>
    <w:pPr>
      <w:tabs>
        <w:tab w:val="num" w:pos="1220"/>
      </w:tabs>
      <w:spacing w:after="0" w:line="288" w:lineRule="auto"/>
      <w:ind w:left="1220" w:hanging="794"/>
      <w:contextualSpacing/>
      <w:jc w:val="both"/>
    </w:pPr>
    <w:rPr>
      <w:rFonts w:ascii="Arial" w:eastAsia="Times New Roman" w:hAnsi="Arial"/>
      <w:szCs w:val="20"/>
    </w:rPr>
  </w:style>
  <w:style w:type="paragraph" w:styleId="Listanumerowana4">
    <w:name w:val="List Number 4"/>
    <w:basedOn w:val="Normalny"/>
    <w:uiPriority w:val="99"/>
    <w:unhideWhenUsed/>
    <w:rsid w:val="001A5CB0"/>
    <w:pPr>
      <w:tabs>
        <w:tab w:val="left" w:pos="2268"/>
        <w:tab w:val="num" w:pos="2552"/>
      </w:tabs>
      <w:spacing w:after="0" w:line="288" w:lineRule="auto"/>
      <w:ind w:left="2552" w:hanging="964"/>
      <w:contextualSpacing/>
      <w:jc w:val="both"/>
    </w:pPr>
    <w:rPr>
      <w:rFonts w:ascii="Arial" w:eastAsia="Times New Roman" w:hAnsi="Arial"/>
      <w:szCs w:val="20"/>
    </w:rPr>
  </w:style>
  <w:style w:type="paragraph" w:customStyle="1" w:styleId="ABGNagwek1">
    <w:name w:val="ABG Nagłówek 1"/>
    <w:basedOn w:val="Nagwek1"/>
    <w:next w:val="Normalny"/>
    <w:qFormat/>
    <w:rsid w:val="001A5CB0"/>
    <w:pPr>
      <w:pageBreakBefore/>
      <w:numPr>
        <w:numId w:val="14"/>
      </w:numPr>
      <w:spacing w:before="360" w:after="120" w:line="280" w:lineRule="atLeast"/>
      <w:jc w:val="left"/>
    </w:pPr>
    <w:rPr>
      <w:rFonts w:ascii="Arial" w:hAnsi="Arial"/>
      <w:color w:val="4D4D4D"/>
      <w:kern w:val="32"/>
      <w:sz w:val="52"/>
      <w:szCs w:val="52"/>
      <w:lang w:val="x-none" w:eastAsia="x-none"/>
    </w:rPr>
  </w:style>
  <w:style w:type="paragraph" w:customStyle="1" w:styleId="ABGNagwek2">
    <w:name w:val="ABG Nagłówek 2"/>
    <w:basedOn w:val="Nagwek2"/>
    <w:next w:val="Normalny"/>
    <w:qFormat/>
    <w:rsid w:val="001A5CB0"/>
    <w:pPr>
      <w:numPr>
        <w:ilvl w:val="1"/>
        <w:numId w:val="14"/>
      </w:numPr>
      <w:tabs>
        <w:tab w:val="clear" w:pos="862"/>
        <w:tab w:val="num" w:pos="1800"/>
      </w:tabs>
      <w:spacing w:before="480" w:after="120" w:line="280" w:lineRule="atLeast"/>
      <w:ind w:left="1800" w:hanging="720"/>
      <w:jc w:val="left"/>
    </w:pPr>
    <w:rPr>
      <w:rFonts w:ascii="Arial" w:eastAsia="Calibri" w:hAnsi="Arial" w:cs="Arial"/>
      <w:bCs/>
      <w:iCs/>
      <w:color w:val="4D4D4D"/>
      <w:sz w:val="40"/>
      <w:szCs w:val="40"/>
      <w:lang w:val="x-none" w:eastAsia="x-none"/>
    </w:rPr>
  </w:style>
  <w:style w:type="paragraph" w:customStyle="1" w:styleId="ABGNagwek3">
    <w:name w:val="ABG Nagłówek 3"/>
    <w:basedOn w:val="Nagwek3"/>
    <w:next w:val="Normalny"/>
    <w:qFormat/>
    <w:rsid w:val="001A5CB0"/>
    <w:pPr>
      <w:numPr>
        <w:ilvl w:val="2"/>
        <w:numId w:val="14"/>
      </w:numPr>
      <w:spacing w:before="240" w:after="120" w:line="280" w:lineRule="atLeast"/>
    </w:pPr>
    <w:rPr>
      <w:rFonts w:ascii="Arial" w:hAnsi="Arial" w:cs="Arial"/>
      <w:color w:val="4D4D4D"/>
      <w:sz w:val="36"/>
      <w:szCs w:val="36"/>
      <w:lang w:val="pl-PL" w:eastAsia="pl-PL"/>
    </w:rPr>
  </w:style>
  <w:style w:type="paragraph" w:customStyle="1" w:styleId="ABGNagwek4">
    <w:name w:val="ABG Nagłówek 4"/>
    <w:basedOn w:val="Nagwek4"/>
    <w:next w:val="Normalny"/>
    <w:qFormat/>
    <w:rsid w:val="001A5CB0"/>
    <w:pPr>
      <w:numPr>
        <w:ilvl w:val="4"/>
        <w:numId w:val="14"/>
      </w:numPr>
      <w:tabs>
        <w:tab w:val="clear" w:pos="1134"/>
        <w:tab w:val="clear" w:pos="2008"/>
        <w:tab w:val="num" w:pos="360"/>
      </w:tabs>
      <w:spacing w:before="480" w:after="120" w:line="280" w:lineRule="atLeast"/>
      <w:ind w:left="0" w:firstLine="0"/>
      <w:outlineLvl w:val="2"/>
    </w:pPr>
    <w:rPr>
      <w:rFonts w:ascii="Arial" w:hAnsi="Arial"/>
      <w:b/>
      <w:bCs/>
      <w:color w:val="4D4D4D"/>
      <w:kern w:val="32"/>
      <w:sz w:val="32"/>
      <w:szCs w:val="28"/>
    </w:rPr>
  </w:style>
  <w:style w:type="paragraph" w:customStyle="1" w:styleId="ABGNagwek6">
    <w:name w:val="ABG Nagłówek 6"/>
    <w:basedOn w:val="Nagwek6"/>
    <w:next w:val="Normalny"/>
    <w:qFormat/>
    <w:rsid w:val="001A5CB0"/>
    <w:pPr>
      <w:numPr>
        <w:ilvl w:val="5"/>
        <w:numId w:val="14"/>
      </w:numPr>
      <w:tabs>
        <w:tab w:val="clear" w:pos="240"/>
        <w:tab w:val="num" w:pos="360"/>
      </w:tabs>
      <w:spacing w:before="240" w:after="60" w:line="280" w:lineRule="atLeast"/>
      <w:ind w:left="0" w:firstLine="0"/>
    </w:pPr>
    <w:rPr>
      <w:rFonts w:ascii="Arial" w:hAnsi="Arial"/>
      <w:bCs/>
      <w:color w:val="4D4D4D"/>
      <w:sz w:val="26"/>
      <w:szCs w:val="22"/>
    </w:rPr>
  </w:style>
  <w:style w:type="paragraph" w:customStyle="1" w:styleId="ABGNagwek7">
    <w:name w:val="ABG Nagłówek 7"/>
    <w:basedOn w:val="Nagwek7"/>
    <w:next w:val="Normalny"/>
    <w:qFormat/>
    <w:rsid w:val="001A5CB0"/>
    <w:pPr>
      <w:numPr>
        <w:ilvl w:val="6"/>
        <w:numId w:val="14"/>
      </w:numPr>
      <w:tabs>
        <w:tab w:val="clear" w:pos="384"/>
        <w:tab w:val="num" w:pos="360"/>
      </w:tabs>
      <w:spacing w:before="240" w:after="60" w:line="280" w:lineRule="atLeast"/>
      <w:ind w:left="0" w:firstLine="0"/>
      <w:jc w:val="both"/>
    </w:pPr>
    <w:rPr>
      <w:rFonts w:ascii="Arial" w:hAnsi="Arial"/>
      <w:color w:val="4D4D4D"/>
      <w:szCs w:val="24"/>
    </w:rPr>
  </w:style>
  <w:style w:type="paragraph" w:customStyle="1" w:styleId="ABGNagwek8">
    <w:name w:val="ABG Nagłówek 8"/>
    <w:basedOn w:val="ABGNagwek7"/>
    <w:next w:val="Normalny"/>
    <w:rsid w:val="001A5CB0"/>
    <w:pPr>
      <w:numPr>
        <w:ilvl w:val="8"/>
      </w:numPr>
      <w:tabs>
        <w:tab w:val="clear" w:pos="672"/>
        <w:tab w:val="num" w:pos="360"/>
      </w:tabs>
      <w:ind w:left="6480" w:hanging="360"/>
    </w:pPr>
    <w:rPr>
      <w:sz w:val="22"/>
    </w:rPr>
  </w:style>
  <w:style w:type="paragraph" w:styleId="Poprawka">
    <w:name w:val="Revision"/>
    <w:hidden/>
    <w:uiPriority w:val="99"/>
    <w:semiHidden/>
    <w:rsid w:val="001A5CB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1A5CB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1A5CB0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ABGStandardowy">
    <w:name w:val="ABG Standardowy"/>
    <w:basedOn w:val="Normalny"/>
    <w:link w:val="ABGStandardowyZnak"/>
    <w:qFormat/>
    <w:rsid w:val="001A5CB0"/>
    <w:pPr>
      <w:spacing w:after="120" w:line="280" w:lineRule="atLeast"/>
      <w:jc w:val="both"/>
    </w:pPr>
    <w:rPr>
      <w:rFonts w:ascii="Arial" w:eastAsia="Times New Roman" w:hAnsi="Arial"/>
      <w:sz w:val="20"/>
      <w:szCs w:val="24"/>
    </w:rPr>
  </w:style>
  <w:style w:type="character" w:customStyle="1" w:styleId="ABGStandardowyZnak">
    <w:name w:val="ABG Standardowy Znak"/>
    <w:link w:val="ABGStandardowy"/>
    <w:rsid w:val="001A5CB0"/>
    <w:rPr>
      <w:rFonts w:ascii="Arial" w:eastAsia="Times New Roman" w:hAnsi="Arial"/>
      <w:sz w:val="20"/>
      <w:szCs w:val="24"/>
    </w:rPr>
  </w:style>
  <w:style w:type="paragraph" w:customStyle="1" w:styleId="ABGTytutabeli">
    <w:name w:val="ABG Tytuł tabeli"/>
    <w:basedOn w:val="ABGStandardowy"/>
    <w:rsid w:val="001A5CB0"/>
    <w:pPr>
      <w:keepNext/>
      <w:spacing w:before="60" w:after="60"/>
      <w:jc w:val="center"/>
    </w:pPr>
    <w:rPr>
      <w:b/>
      <w:bCs/>
      <w:szCs w:val="20"/>
    </w:rPr>
  </w:style>
  <w:style w:type="paragraph" w:customStyle="1" w:styleId="ABGNagwek5">
    <w:name w:val="ABG Nagłówek 5"/>
    <w:basedOn w:val="ABGStandardowy"/>
    <w:next w:val="ABGStandardowy"/>
    <w:rsid w:val="001A5CB0"/>
    <w:pPr>
      <w:spacing w:before="480"/>
      <w:ind w:left="3600" w:hanging="360"/>
    </w:pPr>
    <w:rPr>
      <w:color w:val="4D4D4D"/>
      <w:sz w:val="22"/>
      <w:szCs w:val="28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A46CC4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Domylnaczcionkaakapitu"/>
    <w:rsid w:val="0050071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BB55-05BA-4C6B-B908-1297352E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6711</Words>
  <Characters>44189</Characters>
  <Application>Microsoft Office Word</Application>
  <DocSecurity>0</DocSecurity>
  <Lines>368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ANITA. MAZURKIEWICZ</dc:creator>
  <cp:keywords/>
  <dc:description/>
  <cp:lastModifiedBy>Andrzej Babecki</cp:lastModifiedBy>
  <cp:revision>3</cp:revision>
  <cp:lastPrinted>2023-03-07T12:15:00Z</cp:lastPrinted>
  <dcterms:created xsi:type="dcterms:W3CDTF">2023-03-07T12:09:00Z</dcterms:created>
  <dcterms:modified xsi:type="dcterms:W3CDTF">2023-03-07T12:15:00Z</dcterms:modified>
</cp:coreProperties>
</file>