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Załącznik nr 1 do Umowy</w:t>
      </w:r>
    </w:p>
    <w:p>
      <w:pPr>
        <w:pStyle w:val="Normal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Wzór umowy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Umowa zawarta w dniu ………………………. w Olsztynie, pomiędzy: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Skarbem Państwa - Kasą Rolniczego Ubezpieczenia Społecznego z siedzibą </w:t>
        <w:br/>
        <w:t xml:space="preserve">w Olsztynie, ul. Mickiewicza 1, NIP: 526-00-13-054, REGON: 012513262, reprezentowaną przez: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</w:t>
      </w:r>
      <w:r>
        <w:rPr>
          <w:rFonts w:cs="Arial" w:ascii="Arial" w:hAnsi="Arial"/>
          <w:sz w:val="24"/>
          <w:szCs w:val="24"/>
        </w:rPr>
        <w:t>. - na podstawie pełnomocnictwa nr ……….. z dnia ………….. udzielonego przez Prezesa Kasy Rolniczego Ubezpieczenia Społecznego</w:t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zwaną dalej </w:t>
      </w:r>
      <w:r>
        <w:rPr>
          <w:rFonts w:cs="Arial" w:ascii="Arial" w:hAnsi="Arial"/>
          <w:b/>
          <w:i/>
          <w:sz w:val="24"/>
          <w:szCs w:val="24"/>
        </w:rPr>
        <w:t>„Zamawiającym”</w:t>
      </w:r>
      <w:r>
        <w:rPr>
          <w:rFonts w:cs="Arial" w:ascii="Arial" w:hAnsi="Arial"/>
          <w:sz w:val="24"/>
          <w:szCs w:val="24"/>
        </w:rPr>
        <w:t xml:space="preserve"> lub </w:t>
      </w:r>
      <w:r>
        <w:rPr>
          <w:rFonts w:cs="Arial" w:ascii="Arial" w:hAnsi="Arial"/>
          <w:b/>
          <w:i/>
          <w:sz w:val="24"/>
          <w:szCs w:val="24"/>
        </w:rPr>
        <w:t>„Inwestorem Bezpośrednim”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.., NIP: ……………..………….., REGON: ……………………….. reprezentowaną przez: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zwaną dalej </w:t>
      </w:r>
      <w:r>
        <w:rPr>
          <w:rFonts w:cs="Arial" w:ascii="Arial" w:hAnsi="Arial"/>
          <w:b/>
          <w:i/>
          <w:sz w:val="24"/>
          <w:szCs w:val="24"/>
        </w:rPr>
        <w:t>„Wykonawcą”</w:t>
      </w:r>
      <w:r>
        <w:rPr>
          <w:rFonts w:cs="Arial" w:ascii="Arial" w:hAnsi="Arial"/>
          <w:sz w:val="24"/>
          <w:szCs w:val="24"/>
        </w:rPr>
        <w:t xml:space="preserve"> lub </w:t>
      </w:r>
      <w:r>
        <w:rPr>
          <w:rFonts w:cs="Arial" w:ascii="Arial" w:hAnsi="Arial"/>
          <w:b/>
          <w:i/>
          <w:sz w:val="24"/>
          <w:szCs w:val="24"/>
        </w:rPr>
        <w:t>„Inwestorem Zastępczym”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zwanych dalej Stronami.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§ 1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Zamawiający powierza, a Wykonawca obejmuje funkcję Inwestora Zastępczego </w:t>
        <w:br/>
        <w:t xml:space="preserve">w zakresie zastępstwa inwestycyjnego przy realizacji zadania pn.: </w:t>
      </w:r>
      <w:bookmarkStart w:id="0" w:name="_Hlk135738139"/>
      <w:r>
        <w:rPr>
          <w:rFonts w:cs="Arial" w:ascii="Arial" w:hAnsi="Arial"/>
          <w:sz w:val="24"/>
          <w:szCs w:val="24"/>
        </w:rPr>
        <w:t xml:space="preserve">„Adaptacja budynku położonego przy ul. Kołobrzeskiej 38 A na potrzeby OR KRUS  </w:t>
        <w:br/>
        <w:t>w Olsztynie”</w:t>
      </w:r>
      <w:bookmarkEnd w:id="0"/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 ramach umowy o zastępstwo inwestycyjne Inwestor Zastępczy zobowiązuje się do działania zgodnie z aktualnie obowiązującymi przepisami prawa, normami wiedzą techniczną, postanowieniami niniejszej umowy i wytycznymi udzielonymi przez Zamawiającego.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 toku realizacji postanowień niniejszej umowy Inwestor Zastępczy zobowiązany jest do podejmowania wszelkich czynności mających na celu zabezpieczenie praw i interesów Zamawiającego. 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Objęcie funkcji Inwestora Zastępczego nastąpi od dnia podpisania umowy. 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Pełnienie funkcji Inwestora Zastępczego realizowane jest w imieniu i na rzecz Inwestora Bezpośredniego i obejmuje obowiązki związane z profesjonalnym </w:t>
        <w:br/>
        <w:t xml:space="preserve">i kompleksowym nadzorem inwestorskim oraz kontrolą zadania inwestycyjnego, </w:t>
        <w:br/>
        <w:t>w tym realizację zadań: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644" w:right="17" w:hanging="36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zakresie dokumentacji projektowej: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opiniowanie, na wniosek Zamawiającego, wstępnych założeń projektowych przedstawionych przez Wykonawcę dokumentacji projektowej,</w:t>
      </w:r>
    </w:p>
    <w:p>
      <w:pPr>
        <w:pStyle w:val="Style61"/>
        <w:widowControl/>
        <w:numPr>
          <w:ilvl w:val="0"/>
          <w:numId w:val="2"/>
        </w:numPr>
        <w:spacing w:lineRule="auto" w:line="276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cs="Arial" w:ascii="Arial" w:hAnsi="Arial"/>
          <w:sz w:val="24"/>
          <w:szCs w:val="24"/>
        </w:rPr>
        <w:t xml:space="preserve">udział w pracach komisji mającej na celu sprawdzenie i zweryfikowanie, </w:t>
        <w:br/>
        <w:t xml:space="preserve">w terminie 7 dni od dnia jej przekazania, Dokumentacji Projektowej </w:t>
        <w:br/>
        <w:t>w szczególności pod względem:</w:t>
      </w:r>
    </w:p>
    <w:p>
      <w:pPr>
        <w:pStyle w:val="Style61"/>
        <w:widowControl/>
        <w:numPr>
          <w:ilvl w:val="0"/>
          <w:numId w:val="24"/>
        </w:numPr>
        <w:spacing w:lineRule="auto" w:line="276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cs="Arial" w:ascii="Arial" w:hAnsi="Arial"/>
          <w:sz w:val="24"/>
          <w:szCs w:val="24"/>
        </w:rPr>
        <w:t>kompletności,</w:t>
      </w:r>
    </w:p>
    <w:p>
      <w:pPr>
        <w:pStyle w:val="Style61"/>
        <w:widowControl/>
        <w:numPr>
          <w:ilvl w:val="0"/>
          <w:numId w:val="24"/>
        </w:numPr>
        <w:spacing w:lineRule="auto" w:line="276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cs="Arial" w:ascii="Arial" w:hAnsi="Arial"/>
          <w:sz w:val="24"/>
          <w:szCs w:val="24"/>
        </w:rPr>
        <w:t xml:space="preserve">zgodności z postanowieniami Umowy zawartej pomiędzy Zamawiającym a Wykonawcą dokumentacji projektowej, </w:t>
      </w:r>
    </w:p>
    <w:p>
      <w:pPr>
        <w:pStyle w:val="Style61"/>
        <w:widowControl/>
        <w:numPr>
          <w:ilvl w:val="0"/>
          <w:numId w:val="24"/>
        </w:numPr>
        <w:spacing w:lineRule="auto" w:line="276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cs="Arial" w:ascii="Arial" w:hAnsi="Arial"/>
          <w:sz w:val="24"/>
          <w:szCs w:val="24"/>
        </w:rPr>
        <w:t>prawidłowości sporządzonych kosztorysów,</w:t>
      </w:r>
    </w:p>
    <w:p>
      <w:pPr>
        <w:pStyle w:val="Style61"/>
        <w:widowControl/>
        <w:numPr>
          <w:ilvl w:val="0"/>
          <w:numId w:val="24"/>
        </w:numPr>
        <w:spacing w:lineRule="auto" w:line="276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cs="Arial" w:ascii="Arial" w:hAnsi="Arial"/>
          <w:sz w:val="24"/>
          <w:szCs w:val="24"/>
        </w:rPr>
        <w:t xml:space="preserve">wskazówkami Zamawiającego przekazanymi Wykonawcy dokumentacji projektowej w trakcie wykonywania prac projektowych, </w:t>
      </w:r>
    </w:p>
    <w:p>
      <w:pPr>
        <w:pStyle w:val="Style61"/>
        <w:widowControl/>
        <w:numPr>
          <w:ilvl w:val="0"/>
          <w:numId w:val="24"/>
        </w:numPr>
        <w:spacing w:lineRule="auto" w:line="276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cs="Arial" w:ascii="Arial" w:hAnsi="Arial"/>
          <w:sz w:val="24"/>
          <w:szCs w:val="24"/>
        </w:rPr>
        <w:t>zasadami sztuki budowlanej, wiedzy technicznej i standardami projektowania,</w:t>
      </w:r>
    </w:p>
    <w:p>
      <w:pPr>
        <w:pStyle w:val="Style61"/>
        <w:widowControl/>
        <w:numPr>
          <w:ilvl w:val="0"/>
          <w:numId w:val="24"/>
        </w:numPr>
        <w:spacing w:lineRule="auto" w:line="276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cs="Arial" w:ascii="Arial" w:hAnsi="Arial"/>
          <w:sz w:val="24"/>
          <w:szCs w:val="24"/>
        </w:rPr>
        <w:t>zgodności z prawem, warunkami technicznymi i normami,</w:t>
      </w:r>
    </w:p>
    <w:p>
      <w:pPr>
        <w:pStyle w:val="Style61"/>
        <w:widowControl/>
        <w:numPr>
          <w:ilvl w:val="0"/>
          <w:numId w:val="24"/>
        </w:numPr>
        <w:spacing w:lineRule="auto" w:line="276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cs="Arial" w:ascii="Arial" w:hAnsi="Arial"/>
          <w:sz w:val="24"/>
          <w:szCs w:val="24"/>
        </w:rPr>
        <w:t>zgodności formy papierowej z elektroniczną,</w:t>
      </w:r>
    </w:p>
    <w:p>
      <w:pPr>
        <w:pStyle w:val="Style61"/>
        <w:widowControl/>
        <w:numPr>
          <w:ilvl w:val="0"/>
          <w:numId w:val="24"/>
        </w:numPr>
        <w:spacing w:lineRule="auto" w:line="276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cs="Arial" w:ascii="Arial" w:hAnsi="Arial"/>
          <w:sz w:val="24"/>
          <w:szCs w:val="24"/>
        </w:rPr>
        <w:t>zgodności projektu wykonawczego z zatwierdzonym projektem koncepcyjnym,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360"/>
        <w:contextualSpacing/>
        <w:jc w:val="both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cs="Arial" w:ascii="Arial" w:hAnsi="Arial"/>
          <w:sz w:val="24"/>
          <w:szCs w:val="24"/>
        </w:rPr>
        <w:t>ewentualne przygotowanie uwag skierowanych do projektanta dotyczących stwierdzonych wad lub błędów w dokumentacji projektowej,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360"/>
        <w:contextualSpacing/>
        <w:jc w:val="both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cs="Arial" w:ascii="Arial" w:hAnsi="Arial"/>
          <w:sz w:val="24"/>
          <w:szCs w:val="24"/>
        </w:rPr>
        <w:t>podpisanie protokołu zdawczo-odbiorczego dokumentacji projektowej,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12"/>
          <w:rFonts w:cs="Arial" w:ascii="Arial" w:hAnsi="Arial"/>
          <w:sz w:val="24"/>
          <w:szCs w:val="24"/>
        </w:rPr>
        <w:t xml:space="preserve">przejęcie dokumentacji projektowej od Inwestora Bezpośredniego potwierdzone podpisaniem protokołu zdawczo-odbiorczego </w:t>
        <w:br/>
        <w:t>wraz z oświadczeniem o jej kompletności (załącznik nr 1 do Umowy),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644" w:right="17" w:hanging="36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zakresie wyboru Wykonawcy robót budowlanych: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współpraca w przygotowaniu i we wszczęciu postępowania o zamówienie publiczne na wybór wykonawcy robót budowlanych związanych z adaptacją budynku, zgodnie z opracowaną dokumentacją projektową, w tym opracowanie propozycji </w:t>
      </w:r>
      <w:r>
        <w:rPr>
          <w:rFonts w:cs="Arial" w:ascii="Arial" w:hAnsi="Arial"/>
          <w:color w:val="000000" w:themeColor="text1"/>
          <w:sz w:val="24"/>
          <w:szCs w:val="24"/>
        </w:rPr>
        <w:t>specyfikacji warunków zamówienia wraz ze wzorem umowy oraz innych dokumentów niezbędnych do przeprowadzenia postępowania,</w:t>
      </w:r>
    </w:p>
    <w:p>
      <w:pPr>
        <w:pStyle w:val="Tretekstu"/>
        <w:numPr>
          <w:ilvl w:val="0"/>
          <w:numId w:val="3"/>
        </w:numPr>
        <w:spacing w:lineRule="auto" w:line="240"/>
        <w:rPr>
          <w:rFonts w:eastAsia="Calibri" w:cs="Arial" w:eastAsiaTheme="minorHAnsi"/>
          <w:szCs w:val="24"/>
        </w:rPr>
      </w:pPr>
      <w:r>
        <w:rPr>
          <w:rFonts w:eastAsia="Calibri" w:cs="Arial" w:eastAsiaTheme="minorHAnsi"/>
          <w:szCs w:val="24"/>
        </w:rPr>
        <w:t xml:space="preserve">udział upoważnionych osób z ramienia Inwestora Zastępczego w pracach komisji zamówień publicznych, w tym sporządzanie propozycji odpowiedzi na pytania uczestników postępowania. Osoby biorące udział w pracach komisji złożą pisemne oświadczenie o braku lub istnieniu okoliczności, </w:t>
        <w:br/>
        <w:t xml:space="preserve">o których mowa w art. 56 ustawy z dnia 11 września 2019 r. - Prawo zamówień publicznych (Dz. U. z 2022 r. poz. 1710),  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36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przygotowanie od strony techniczno-budowlanej propozycji odpowiedzi </w:t>
        <w:br/>
        <w:t>na ewentualne odwołania Wykonawców oraz udział w postępowaniach odwoławczych.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720" w:right="17" w:hanging="36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w zakresie </w:t>
      </w:r>
      <w:bookmarkStart w:id="1" w:name="_Hlk136343892"/>
      <w:r>
        <w:rPr>
          <w:rFonts w:cs="Arial" w:ascii="Arial" w:hAnsi="Arial"/>
          <w:b/>
          <w:sz w:val="24"/>
          <w:szCs w:val="24"/>
        </w:rPr>
        <w:t xml:space="preserve">realizacji projektu, zarządzania, nadzoru, kontroli </w:t>
        <w:br/>
        <w:t>oraz rozliczania zadania inwestycyjnego</w:t>
      </w:r>
      <w:bookmarkEnd w:id="1"/>
      <w:r>
        <w:rPr>
          <w:rFonts w:cs="Arial" w:ascii="Arial" w:hAnsi="Arial"/>
          <w:b/>
          <w:sz w:val="24"/>
          <w:szCs w:val="24"/>
        </w:rPr>
        <w:t>: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sprawdzenie harmonogramu finansowo-rzeczowego opracowanego przez Wykonawcę robót budowlanych oraz ewentualnie przygotowanie koniecznych zmian i poprawek do tego dokumentu i przedstawienie ich Zamawiającemu w terminie 10 dni od dnia otrzymania harmonogramu,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bieżące nadzorowanie i kontrolowanie realizacji inwestycji  w stosunku </w:t>
        <w:br/>
        <w:t xml:space="preserve">do kwot zabezpieczonych w budżecie na realizację inwestycji, 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pełnienie nadzoru inwestorskiego nad realizacją inwestycji, w tym sprawdzanie zgodności robót z dokumentacją projektową, techniczną, warunkami technicznymi wykonania robót, obowiązującymi przepisami, normami, aktualną wiedzą techniczną oraz zapisami umowy, </w:t>
        <w:br/>
        <w:t xml:space="preserve">a w szczególności z harmonogramem finansowo-rzeczowym, 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ustanowienie inspektorów nadzoru inwestorskiego w każdej </w:t>
        <w:br/>
        <w:t>z występujących w inwestycji branż. Wykaz osób wyznaczonych</w:t>
        <w:br/>
        <w:t xml:space="preserve">do pełnienia funkcji inspektora nadzoru inwestorskiego stanowi załącznik </w:t>
        <w:br/>
        <w:t xml:space="preserve">nr 2 do Umowy. Inwestor Zastępczy jest całkowicie odpowiedzialny </w:t>
        <w:br/>
        <w:t xml:space="preserve">za odpowiedni dobór osób, tj. specjalistów w zakresie niezbędnym </w:t>
        <w:br/>
        <w:t>do prawidłowej i terminowej realizacji inwestycji,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nadzór nad podmiotami realizującymi inwestycję, w tym prowadzenie bieżącej ewidencji tych podmiotów, ze wskazaniem powierzonych </w:t>
        <w:br/>
        <w:t>im zakresów prac, zależności Podwykonawców wobec Wykonawcy robót oraz kontroli rozliczeń Wykonawcy robót z jego Podwykonawcami,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przygotowanie dokumentów związanych z przekazaniem budynku Wykonawcy robót, koordynowanie prac między branżami, egzekwowanie ustaleń wynikających z harmonogramu realizacji inwestycji, 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uzyskanie wszelkich wymaganych prawem </w:t>
      </w:r>
      <w:bookmarkStart w:id="2" w:name="_Hlk135390226"/>
      <w:r>
        <w:rPr>
          <w:rFonts w:cs="Arial" w:ascii="Arial" w:hAnsi="Arial"/>
          <w:color w:val="000000" w:themeColor="text1"/>
          <w:sz w:val="24"/>
          <w:szCs w:val="24"/>
        </w:rPr>
        <w:t xml:space="preserve">uzgodnień, pozwoleń, decyzji </w:t>
        <w:br/>
        <w:t>i opinii</w:t>
      </w:r>
      <w:bookmarkEnd w:id="2"/>
      <w:r>
        <w:rPr>
          <w:rFonts w:cs="Arial" w:ascii="Arial" w:hAnsi="Arial"/>
          <w:color w:val="000000" w:themeColor="text1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koordynacja działań w zakresie współpracy z podmiotem odpowiedzialnym za sporządzenie dokumentacji projektowej oraz rozwiązywanie ewentualnych problemów związanych z dokumentacją projektową </w:t>
        <w:br/>
        <w:t>i powstałych w trakcie realizacji robót,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opracowanie protokołów konieczności wykonania oraz opinii i uzasadnień:</w:t>
      </w:r>
    </w:p>
    <w:p>
      <w:pPr>
        <w:pStyle w:val="ListParagraph"/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- na roboty dodatkowe nieprzewidziane i nieuwzględnione w dokumentacji projektowej, warunkujące wykonanie robót objętych umową zawartą pomiędzy Inwestorem Bezpośrednim a Wykonawcą robót,</w:t>
      </w:r>
    </w:p>
    <w:p>
      <w:pPr>
        <w:pStyle w:val="ListParagraph"/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- na roboty zamienne wraz z opracowaniem dokumentacji zamiennej potwierdzonej przez Wykonawcę dokumentacji projektowej.</w:t>
      </w:r>
    </w:p>
    <w:p>
      <w:pPr>
        <w:pStyle w:val="ListParagraph"/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Roboty dodatkowe i roboty zamienne wymagają zatwierdzenia </w:t>
        <w:br/>
        <w:t>przez Inwestora Bezpośredniego,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uczestniczenie w próbach i odbiorach technicznych instalacji, urządzeń technicznych oraz przechowywanie wszystkich protokołów z prób i badań </w:t>
        <w:br/>
        <w:t>w celu przekazania ich Inwestorowi Bezpośredniemu,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kontrola jakości i ilości wykonywanych robót i częściowe ich odbiory, </w:t>
        <w:br/>
        <w:t xml:space="preserve">w tym odbiory robót zanikających i/lub ulegających zakryciu, </w:t>
        <w:br/>
        <w:t>po ich zgłoszeniu przez Wykonawcę robót,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informowanie Inwestora Bezpośredniego o dokonanych odbiorach,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kontrola jakości zastosowanych materiałów i urządzeń, ich zgodności </w:t>
        <w:br/>
        <w:t>z zastosowaną dokumentacją projektową oraz obowiązującymi przepisami,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prowadzenie cyfrowej dokumentacji fotograficznej wykonanych robót, </w:t>
        <w:br/>
        <w:t xml:space="preserve">w szczególności robót zanikających i ulegających zakryciu </w:t>
        <w:br/>
        <w:t xml:space="preserve">oraz ewentualnych wad i/lub usterek. Inwestor Zastępczy zobowiązuje się </w:t>
        <w:br/>
        <w:t xml:space="preserve">do sukcesywnego przekazywania Inwestorowi Bezpośredniemu </w:t>
        <w:br/>
        <w:t xml:space="preserve">ww. dokumentacji, 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opracowywanie i przedkładanie do akceptacji Inwestorowi Bezpośredniemu dokumentacji dotyczącej wszelkich zgód i uzgodnień warunkujących prawidłową realizację robót,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ocena zasadności wykonania zgłaszanych przez Wykonawcę robót dodatkowych, uzupełniających lub zamiennych, dokonywanie ich wstępnej wyceny w zakresie umożliwiającym ewentualne przygotowanie postępowania oraz sprawdzenie wycen sporządzonych przez Wykonawcę robót. W przypadku konieczności przeprowadzenie ww. robót pełnienie funkcji Inwestora Zastępczego dla tych robót, w ramach umowy,</w:t>
        <w:br/>
        <w:t xml:space="preserve"> bez dodatkowego wynagrodzenia,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protokolarna akceptacja robót dokonana po zakończeniu każdego etapu według harmonogramu przedstawionego przez Wykonawcę robót </w:t>
        <w:br/>
        <w:t>oraz  przekazanie protokołu Inwestorowi Bezpośredniemu,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przygotowanie dokumentów i komisyjne dokonanie czynności odbioru końcowego inwestycji w terminie 14 dni od dnia zgłoszenia dokonanego przez Wykonawcę robót przy udziale przedstawicieli Stron. Odbiór końcowy zostanie potwierdzony protokołem,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doprowadzenie do usunięcia przez Wykonawcę robót wad, usterek </w:t>
        <w:br/>
        <w:t>i niedoróbek stwierdzonych w trakcie odbioru końcowego,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skompletowanie dokumentacji powykonawczej i sprawdzenie </w:t>
        <w:br/>
        <w:t>jej kompletności,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składanie Inwestorowi Bezpośredniemu, miesięcznych, pisemnych sprawozdań informujących o działaniach podejmowanych przez Inwestora Zastępczego wraz z wykazem wizyt na terenie przebudowywanego obiektu oraz z opisem wykonanych czynności nadzoru inwestorskiego, a także </w:t>
        <w:br/>
        <w:t>o przebiegu i postępie realizacji robót, ze wskazaniem procentowego stopnia ich zaawansowania,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powołanie w uzgodnieniu z Inwestorem Bezpośrednim komisji odbioru </w:t>
        <w:br/>
        <w:t>i przeprowadzenie odbiorów robót: częściowych, końcowego i ostatecznego oraz przekazanie Inwestorowi Bezpośredniemu stosownych protokołów. Odbiór ostateczny nastąpi przed upływem rękojmi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udzielonej przez Wykonawcę robót,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69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okresie obowiązywania gwarancji i rękojmi – na wniosek Inwestora Bezpośredniego – sporządzenie protokołu wskazującego ujawnione wady i/lub usterki oraz dokonanie zgłoszenia do Wykonawcy robót celem </w:t>
        <w:br/>
        <w:t>ich usunięcia,</w:t>
      </w:r>
    </w:p>
    <w:p>
      <w:pPr>
        <w:pStyle w:val="ListParagraph"/>
        <w:numPr>
          <w:ilvl w:val="0"/>
          <w:numId w:val="8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720" w:right="17" w:hanging="36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zakresie kontroli rozliczeń finansowych z Wykonawcą robót: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kontrola i sprawdzenie prawidłowości wystawionych faktur pod względem wykonanych prac i kwot w zakresie zgodności z umową zawartą pomiędzy Inwestorem Bezpośrednim a Wykonawcą robót i harmonogramem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rzeczowo-finansowym </w:t>
      </w:r>
      <w:r>
        <w:rPr>
          <w:rFonts w:cs="Arial" w:ascii="Arial" w:hAnsi="Arial"/>
          <w:sz w:val="24"/>
          <w:szCs w:val="24"/>
        </w:rPr>
        <w:t xml:space="preserve">oraz kwalifikowanie ich do zapłaty </w:t>
        <w:br/>
        <w:t>i przekazanie Inwestorowi Bezpośredniemu,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weryfikacja kosztorysów (kalkulacji cenowych) w przypadku konieczności przeprowadzenia robót dodatkowych, zamiennych lub uzupełniających </w:t>
        <w:br/>
        <w:t xml:space="preserve">pod względem rzeczowym, zgodności z obowiązującymi normami </w:t>
        <w:br/>
        <w:t>(w tym nakładami rzeczowymi) oraz ich zgodności z umową zawartą pomiędzy Inwestorem Bezpośrednim a Wykonawcą robót,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przygotowanie materiałów związanych z naliczaniem kar umownych </w:t>
        <w:br/>
        <w:t xml:space="preserve">oraz odszkodowań związanych z nienależytym lub nieterminowym wykonywaniem umowy zawartej pomiędzy Inwestorem Bezpośrednim </w:t>
        <w:br/>
        <w:t>a Wykonawcą robót,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kontrola kosztów inwestycji pod względem zabezpieczonych środków,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clear" w:pos="708"/>
          <w:tab w:val="left" w:pos="9072" w:leader="none"/>
        </w:tabs>
        <w:spacing w:before="0" w:after="0"/>
        <w:ind w:left="1080" w:right="17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rozliczenie inwestycji w oparciu o aktualne Rozporządzenie w sprawie klasyfikacji środków trwałych, w terminie 30 dni od daty sporządzenia protokołu stwierdzającego końcowy odbiór inwestycji przez Inwestora Bezpośredniego.</w:t>
      </w:r>
    </w:p>
    <w:p>
      <w:pPr>
        <w:pStyle w:val="Normal"/>
        <w:shd w:val="clear" w:color="auto" w:fill="FFFFFF"/>
        <w:tabs>
          <w:tab w:val="clear" w:pos="708"/>
          <w:tab w:val="left" w:pos="9072" w:leader="none"/>
        </w:tabs>
        <w:spacing w:before="0" w:after="0"/>
        <w:ind w:right="1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072" w:leader="none"/>
        </w:tabs>
        <w:spacing w:before="0" w:after="0"/>
        <w:ind w:right="1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Inwestor Zastępczy oświadcza, iż osoby, które w jego imieniu będą wykonywały poszczególne prace będące przedmiotem niniejszej umowy, posiadają stosowne kwalifikacje, uprawnienia oraz doświadczenie zawodowe w zakresie powierzonych obowiązków.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Inwestor Zastępczy ponosi odpowiedzialność za działania i/lub zaniechania osób, które w trakcie realizacji umowy będą wykonywały prace w jego imieniu, tak jak za własne działania i/lub zaniechania.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Inwestor Bezpośredni ma prawo do kontrolowania Inwestora Zastępczego </w:t>
        <w:br/>
        <w:t>na każdym etapie realizacji inwestycji.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Osobami wyznaczonymi do współpracy przy realizacji Umowy są:</w:t>
      </w:r>
    </w:p>
    <w:p>
      <w:pPr>
        <w:pStyle w:val="ListParagraph"/>
        <w:numPr>
          <w:ilvl w:val="0"/>
          <w:numId w:val="25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ze strony Inwestora Zastępczego:</w:t>
      </w:r>
    </w:p>
    <w:p>
      <w:pPr>
        <w:pStyle w:val="ListParagraph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osoba pełniąca rolę koordynatora: ……………….………………………………, </w:t>
        <w:br/>
        <w:t>tel.: …………………………, e-mail:…………….…</w:t>
      </w:r>
    </w:p>
    <w:p>
      <w:pPr>
        <w:pStyle w:val="ListParagraph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……………………………., tel.: …………………………., e-mail:………………</w:t>
      </w:r>
    </w:p>
    <w:p>
      <w:pPr>
        <w:pStyle w:val="ListParagraph"/>
        <w:numPr>
          <w:ilvl w:val="0"/>
          <w:numId w:val="25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ze strony Inwestora Bezpośredniego:</w:t>
      </w:r>
    </w:p>
    <w:p>
      <w:pPr>
        <w:pStyle w:val="ListParagraph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</w:t>
      </w:r>
      <w:r>
        <w:rPr>
          <w:rFonts w:cs="Arial" w:ascii="Arial" w:hAnsi="Arial"/>
          <w:sz w:val="24"/>
          <w:szCs w:val="24"/>
        </w:rPr>
        <w:t>, tel.:…………………………, e-mail:…………….…</w:t>
      </w:r>
    </w:p>
    <w:p>
      <w:pPr>
        <w:pStyle w:val="ListParagraph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</w:t>
      </w:r>
      <w:r>
        <w:rPr>
          <w:rFonts w:cs="Arial" w:ascii="Arial" w:hAnsi="Arial"/>
          <w:sz w:val="24"/>
          <w:szCs w:val="24"/>
        </w:rPr>
        <w:t>, tel.:…………………………, e-mail:…………….…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</w:t>
      </w:r>
    </w:p>
    <w:p>
      <w:pPr>
        <w:pStyle w:val="WWTekstpodstawowy3"/>
        <w:numPr>
          <w:ilvl w:val="0"/>
          <w:numId w:val="9"/>
        </w:numPr>
        <w:tabs>
          <w:tab w:val="clear" w:pos="708"/>
          <w:tab w:val="left" w:pos="735" w:leader="none"/>
          <w:tab w:val="left" w:pos="2083" w:leader="none"/>
        </w:tabs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>Wynagrodzenie Wykonawcy z tytułu realizacji przedmiotu umowy wynosi …………………zł netto (słownie:………………………………..……………........….</w:t>
        <w:br/>
        <w:t>zł netto) powiększone o podatek VAT w wysokości ….. %, co zgodnie ze złożoną ofertą stanowi kwotę………………………………………………….………… zł brutto (słownie: …………………………………………… zł brutto), w tym:</w:t>
      </w:r>
    </w:p>
    <w:p>
      <w:pPr>
        <w:pStyle w:val="WWTekstpodstawowy3"/>
        <w:numPr>
          <w:ilvl w:val="0"/>
          <w:numId w:val="27"/>
        </w:numPr>
        <w:tabs>
          <w:tab w:val="clear" w:pos="708"/>
          <w:tab w:val="left" w:pos="735" w:leader="none"/>
          <w:tab w:val="left" w:pos="2083" w:leader="none"/>
        </w:tabs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>Wynagrodzenie Wykonawcy z tytułu realizacji zadań w zakresie dokumentacji projektowej wynosi………zł netto (słownie:…………………………….….zł netto) powiększone o podatek VAT w wysokości ….. %, co zgodnie ze złożoną ofertą stanowi kwotę………………………………………zł brutto (słownie: …………………………………………… zł brutto);</w:t>
      </w:r>
    </w:p>
    <w:p>
      <w:pPr>
        <w:pStyle w:val="WWTekstpodstawowy3"/>
        <w:numPr>
          <w:ilvl w:val="0"/>
          <w:numId w:val="27"/>
        </w:numPr>
        <w:tabs>
          <w:tab w:val="clear" w:pos="708"/>
          <w:tab w:val="left" w:pos="735" w:leader="none"/>
          <w:tab w:val="left" w:pos="2083" w:leader="none"/>
        </w:tabs>
        <w:rPr>
          <w:rFonts w:ascii="Arial" w:hAnsi="Arial" w:cs="Arial"/>
          <w:szCs w:val="24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Wynagrodzenie Wykonawcy z tytułu realizacji zadań w zakresie </w:t>
      </w:r>
      <w:r>
        <w:rPr>
          <w:rFonts w:cs="Arial" w:ascii="Arial" w:hAnsi="Arial"/>
          <w:szCs w:val="24"/>
        </w:rPr>
        <w:t xml:space="preserve">wyboru Wykonawcy robót budowlanych </w:t>
      </w:r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wynosi…………………..…zł netto (słownie:………………………... zł netto) powiększone o podatek VAT </w:t>
        <w:br/>
        <w:t>w wysokości ….. %, co zgodnie ze złożoną ofertą stanowi kwotę………….………………zł brutto (słownie: …………………………………… zł brutto),</w:t>
      </w:r>
    </w:p>
    <w:p>
      <w:pPr>
        <w:pStyle w:val="WWTekstpodstawowy3"/>
        <w:numPr>
          <w:ilvl w:val="0"/>
          <w:numId w:val="27"/>
        </w:numPr>
        <w:tabs>
          <w:tab w:val="clear" w:pos="708"/>
          <w:tab w:val="left" w:pos="735" w:leader="none"/>
          <w:tab w:val="left" w:pos="2083" w:leader="none"/>
        </w:tabs>
        <w:rPr>
          <w:rFonts w:ascii="Arial" w:hAnsi="Arial" w:cs="Arial"/>
          <w:szCs w:val="24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Wynagrodzenie Wykonawcy z tytułu realizacji zadań </w:t>
      </w:r>
      <w:r>
        <w:rPr>
          <w:rFonts w:cs="Arial" w:ascii="Arial" w:hAnsi="Arial"/>
          <w:szCs w:val="24"/>
        </w:rPr>
        <w:t xml:space="preserve">w zakresie realizacji projektu, zarządzania, nadzoru, kontroli oraz rozliczania zadania inwestycyjnego i w zakresie kontroli rozliczeń finansowych z Wykonawcą robót </w:t>
      </w:r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wynosi…………………..…zł netto (słownie:……………………….……………... zł netto) powiększone o podatek VAT w wysokości ……%, co zgodnie </w:t>
        <w:br/>
        <w:t>ze złożoną ofertą stanowi kwotę…………………………….……………zł brutto (słownie: …………………………………………… zł brutto).</w:t>
      </w:r>
    </w:p>
    <w:p>
      <w:pPr>
        <w:pStyle w:val="WWTekstpodstawowy3"/>
        <w:numPr>
          <w:ilvl w:val="0"/>
          <w:numId w:val="9"/>
        </w:numPr>
        <w:tabs>
          <w:tab w:val="clear" w:pos="708"/>
          <w:tab w:val="left" w:pos="735" w:leader="none"/>
          <w:tab w:val="left" w:pos="2083" w:leader="none"/>
        </w:tabs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Wynagrodzenie, o którym mowa w § 3 ust. 1 jest wynagrodzeniem ryczałtowym </w:t>
        <w:br/>
        <w:t xml:space="preserve">i obejmuje wszelkie koszty związane z realizacją przedmiotu umowy, </w:t>
        <w:br/>
        <w:t xml:space="preserve">w tym uzyskanie ewentualnych </w:t>
      </w:r>
      <w:r>
        <w:rPr>
          <w:rFonts w:cs="Arial" w:ascii="Arial" w:hAnsi="Arial"/>
          <w:color w:val="000000" w:themeColor="text1"/>
          <w:szCs w:val="24"/>
        </w:rPr>
        <w:t>uzgodnień, pozwoleń, decyzji i opinii.</w:t>
      </w:r>
    </w:p>
    <w:p>
      <w:pPr>
        <w:pStyle w:val="WWTekstpodstawowy3"/>
        <w:numPr>
          <w:ilvl w:val="0"/>
          <w:numId w:val="9"/>
        </w:numPr>
        <w:tabs>
          <w:tab w:val="clear" w:pos="708"/>
          <w:tab w:val="left" w:pos="735" w:leader="none"/>
          <w:tab w:val="left" w:pos="2083" w:leader="none"/>
        </w:tabs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>Wynagrodzenie będzie wypłacone w terminie 14 dni od dnia otrzymania prawidłowo wystawionej  faktury VAT, na rachunek rozliczeniowy wskazany przez Wykonawcę. Za dzień zapłaty uznaje się dzień uznania na rachunku Wykonawcy.</w:t>
      </w:r>
    </w:p>
    <w:p>
      <w:pPr>
        <w:pStyle w:val="Tretekstu"/>
        <w:numPr>
          <w:ilvl w:val="0"/>
          <w:numId w:val="9"/>
        </w:numPr>
        <w:suppressAutoHyphens w:val="true"/>
        <w:spacing w:lineRule="auto" w:line="240"/>
        <w:rPr>
          <w:rFonts w:eastAsia="Calibri" w:cs="Arial" w:eastAsiaTheme="minorHAnsi"/>
          <w:szCs w:val="24"/>
          <w:lang w:eastAsia="en-US"/>
        </w:rPr>
      </w:pPr>
      <w:r>
        <w:rPr>
          <w:rFonts w:eastAsia="Calibri" w:cs="Arial" w:eastAsiaTheme="minorHAnsi"/>
          <w:szCs w:val="24"/>
          <w:lang w:eastAsia="en-US"/>
        </w:rPr>
        <w:t>Wykonawca wystawi fakturę:</w:t>
      </w:r>
    </w:p>
    <w:p>
      <w:pPr>
        <w:pStyle w:val="Tretekstu"/>
        <w:numPr>
          <w:ilvl w:val="0"/>
          <w:numId w:val="28"/>
        </w:numPr>
        <w:suppressAutoHyphens w:val="true"/>
        <w:spacing w:lineRule="auto" w:line="240"/>
        <w:rPr>
          <w:rFonts w:eastAsia="Calibri" w:cs="Arial" w:eastAsiaTheme="minorHAnsi"/>
          <w:szCs w:val="24"/>
          <w:lang w:eastAsia="en-US"/>
        </w:rPr>
      </w:pPr>
      <w:r>
        <w:rPr>
          <w:rFonts w:eastAsia="Calibri" w:cs="Arial" w:eastAsiaTheme="minorHAnsi"/>
          <w:szCs w:val="24"/>
          <w:lang w:eastAsia="en-US"/>
        </w:rPr>
        <w:t xml:space="preserve">Za realizację zadań, o których mowa w § 1 ust. 5 pkt 1) - niezwłocznie </w:t>
        <w:br/>
        <w:t xml:space="preserve">po </w:t>
      </w:r>
      <w:r>
        <w:rPr>
          <w:rStyle w:val="FontStyle12"/>
          <w:rFonts w:cs="Arial"/>
          <w:sz w:val="24"/>
          <w:szCs w:val="24"/>
        </w:rPr>
        <w:t xml:space="preserve">podpisaniu protokołu </w:t>
      </w:r>
      <w:r>
        <w:rPr>
          <w:rStyle w:val="FontStyle12"/>
          <w:rFonts w:cs="Arial" w:ascii="Arial" w:hAnsi="Arial"/>
          <w:sz w:val="24"/>
          <w:szCs w:val="24"/>
        </w:rPr>
        <w:t>zdawczo-odbiorczego wraz z oświadczeniem o jej kompletności (załącznik nr 1 do Umowy),</w:t>
      </w:r>
    </w:p>
    <w:p>
      <w:pPr>
        <w:pStyle w:val="Tretekstu"/>
        <w:numPr>
          <w:ilvl w:val="0"/>
          <w:numId w:val="28"/>
        </w:numPr>
        <w:suppressAutoHyphens w:val="true"/>
        <w:spacing w:lineRule="auto" w:line="240"/>
        <w:rPr>
          <w:rFonts w:eastAsia="Calibri" w:cs="Arial" w:eastAsiaTheme="minorHAnsi"/>
          <w:szCs w:val="24"/>
          <w:lang w:eastAsia="en-US"/>
        </w:rPr>
      </w:pPr>
      <w:r>
        <w:rPr>
          <w:rFonts w:eastAsia="Calibri" w:cs="Arial" w:eastAsiaTheme="minorHAnsi"/>
          <w:szCs w:val="24"/>
          <w:lang w:eastAsia="en-US"/>
        </w:rPr>
        <w:t xml:space="preserve">Za realizację zadań, o których mowa w § 1 ust. 5 pkt 2) - niezwłocznie </w:t>
        <w:br/>
        <w:t xml:space="preserve">po </w:t>
      </w:r>
      <w:r>
        <w:rPr>
          <w:rFonts w:cs="Arial"/>
          <w:szCs w:val="24"/>
        </w:rPr>
        <w:t>zakończenia postępowania na wybór Wykonawcy robót budowlanych</w:t>
      </w:r>
      <w:r>
        <w:rPr>
          <w:rFonts w:eastAsia="Calibri" w:cs="Arial" w:eastAsiaTheme="minorHAnsi"/>
          <w:szCs w:val="24"/>
          <w:lang w:eastAsia="en-US"/>
        </w:rPr>
        <w:t>,</w:t>
      </w:r>
    </w:p>
    <w:p>
      <w:pPr>
        <w:pStyle w:val="Tretekstu"/>
        <w:numPr>
          <w:ilvl w:val="0"/>
          <w:numId w:val="28"/>
        </w:numPr>
        <w:suppressAutoHyphens w:val="true"/>
        <w:spacing w:lineRule="auto" w:line="240"/>
        <w:rPr>
          <w:rFonts w:eastAsia="Calibri" w:cs="Arial" w:eastAsiaTheme="minorHAnsi"/>
          <w:szCs w:val="24"/>
          <w:lang w:eastAsia="en-US"/>
        </w:rPr>
      </w:pPr>
      <w:r>
        <w:rPr>
          <w:rFonts w:eastAsia="Calibri" w:cs="Arial" w:eastAsiaTheme="minorHAnsi"/>
          <w:szCs w:val="24"/>
          <w:lang w:eastAsia="en-US"/>
        </w:rPr>
        <w:t xml:space="preserve">Za realizację zadań, o których mowa w § 1 ust. 5 pkt 3) i 4) – niezwłocznie </w:t>
        <w:br/>
        <w:t xml:space="preserve">po przyjęciu przez Zamawiającego sprawozdania, o którym mowa </w:t>
        <w:br/>
        <w:t xml:space="preserve">w § 1 ust. 5 pkt 3u). Faktury będą wystawiane cyklicznie </w:t>
      </w:r>
      <w:r>
        <w:rPr>
          <w:rFonts w:cs="Arial"/>
          <w:szCs w:val="24"/>
        </w:rPr>
        <w:t>w okresach miesięcznych,</w:t>
      </w:r>
      <w:r>
        <w:rPr>
          <w:rFonts w:eastAsia="Calibri" w:cs="Arial" w:eastAsiaTheme="minorHAnsi"/>
          <w:szCs w:val="24"/>
          <w:lang w:eastAsia="en-US"/>
        </w:rPr>
        <w:t xml:space="preserve"> do wartości 90 % wynagrodzenia wskazanego w  § 3 ust. 1 pkt 3)</w:t>
      </w:r>
      <w:r>
        <w:rPr>
          <w:rFonts w:cs="Arial"/>
          <w:szCs w:val="24"/>
        </w:rPr>
        <w:t xml:space="preserve">. Kwota wskazana w każdej comiesięcznej fakturze stanowić będzie iloczyn wynagrodzenia wskazanego w </w:t>
      </w:r>
      <w:r>
        <w:rPr>
          <w:rFonts w:eastAsia="Calibri" w:cs="Arial" w:eastAsiaTheme="minorHAnsi"/>
          <w:szCs w:val="24"/>
          <w:lang w:eastAsia="en-US"/>
        </w:rPr>
        <w:t>§ 3 ust. 1 pkt 3) Umowy</w:t>
      </w:r>
      <w:r>
        <w:rPr>
          <w:rFonts w:cs="Arial"/>
          <w:szCs w:val="24"/>
        </w:rPr>
        <w:t xml:space="preserve">, a procentem wykonania prac wskazanym w sprawozdaniach o którym mowa w </w:t>
      </w:r>
      <w:r>
        <w:rPr>
          <w:rFonts w:eastAsia="Calibri" w:cs="Arial" w:eastAsiaTheme="minorHAnsi"/>
          <w:szCs w:val="24"/>
          <w:lang w:eastAsia="en-US"/>
        </w:rPr>
        <w:t>§ 1 ust. 5 pkt 3u).</w:t>
      </w:r>
      <w:r>
        <w:rPr>
          <w:rFonts w:cs="Arial"/>
          <w:szCs w:val="24"/>
        </w:rPr>
        <w:t xml:space="preserve"> </w:t>
      </w:r>
    </w:p>
    <w:p>
      <w:pPr>
        <w:pStyle w:val="Tretekstu"/>
        <w:numPr>
          <w:ilvl w:val="0"/>
          <w:numId w:val="9"/>
        </w:numPr>
        <w:suppressAutoHyphens w:val="true"/>
        <w:spacing w:lineRule="auto" w:line="240"/>
        <w:rPr>
          <w:rFonts w:eastAsia="Calibri" w:cs="Arial" w:eastAsiaTheme="minorHAnsi"/>
          <w:szCs w:val="24"/>
          <w:lang w:eastAsia="en-US"/>
        </w:rPr>
      </w:pPr>
      <w:r>
        <w:rPr>
          <w:rFonts w:eastAsia="Calibri" w:cs="Arial" w:eastAsiaTheme="minorHAnsi"/>
          <w:szCs w:val="24"/>
          <w:lang w:eastAsia="en-US"/>
        </w:rPr>
        <w:t xml:space="preserve">Wynagrodzenie będzie wypłacone w terminie 14 dni od dnia otrzymania prawidłowo wystawionej  faktury VAT, na rachunek rozliczeniowy wskazany </w:t>
        <w:br/>
        <w:t>przez Wykonawcę.</w:t>
      </w:r>
    </w:p>
    <w:p>
      <w:pPr>
        <w:pStyle w:val="Normal"/>
        <w:numPr>
          <w:ilvl w:val="0"/>
          <w:numId w:val="9"/>
        </w:numPr>
        <w:overflowPunct w:val="false"/>
        <w:spacing w:lineRule="auto" w:line="240" w:before="0" w:after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Podstawą do wystawienia częściowej faktury VAT będzie przyjęcie przez Zamawiającego miesięcznego sprawozdania z pełnienia funkcji Inwestora Zastępczego, o którym mowa w § 1 ust. 5 pkt 3 u), składanego do 10 dnia miesiąca następnego. Sprawozdanie będzie składane w formie pisemnej w siedzibie Zamawiającego. </w:t>
      </w:r>
    </w:p>
    <w:p>
      <w:pPr>
        <w:pStyle w:val="Tretekstu"/>
        <w:numPr>
          <w:ilvl w:val="0"/>
          <w:numId w:val="9"/>
        </w:numPr>
        <w:suppressAutoHyphens w:val="true"/>
        <w:spacing w:lineRule="auto" w:line="240"/>
        <w:rPr>
          <w:rFonts w:eastAsia="Calibri" w:cs="Arial" w:eastAsiaTheme="minorHAnsi"/>
          <w:szCs w:val="24"/>
          <w:lang w:eastAsia="en-US"/>
        </w:rPr>
      </w:pPr>
      <w:r>
        <w:rPr>
          <w:rFonts w:eastAsia="Calibri" w:cs="Arial" w:eastAsiaTheme="minorHAnsi"/>
          <w:szCs w:val="24"/>
          <w:lang w:eastAsia="en-US"/>
        </w:rPr>
        <w:t>Wykonawca wystawi fakturę końcową niezwłocznie po potwierdzonym protokołem bezusterkowym odbiorze końcowym oraz po zatwierdzeniu przez Inwestora Bezpośredniego przekazanego przez Inwestora Zastępczego rozliczenia inwestycji i uzyskaniu pozwolenia na użytkowanie oraz przekazaniu Inwestorowi Bezpośredniemu:</w:t>
      </w:r>
    </w:p>
    <w:p>
      <w:pPr>
        <w:pStyle w:val="WWTekstpodstawowy3"/>
        <w:tabs>
          <w:tab w:val="clear" w:pos="708"/>
          <w:tab w:val="left" w:pos="735" w:leader="none"/>
          <w:tab w:val="left" w:pos="2083" w:leader="none"/>
        </w:tabs>
        <w:ind w:left="708" w:hanging="0"/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ab/>
        <w:t>- protokołu odbioru końcowego wraz z ewentualnymi protokołami usunięcia stwierdzonych usterek lub wad,</w:t>
      </w:r>
    </w:p>
    <w:p>
      <w:pPr>
        <w:pStyle w:val="WWTekstpodstawowy3"/>
        <w:tabs>
          <w:tab w:val="clear" w:pos="708"/>
          <w:tab w:val="left" w:pos="735" w:leader="none"/>
          <w:tab w:val="left" w:pos="2083" w:leader="none"/>
        </w:tabs>
        <w:ind w:left="360" w:hanging="0"/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ab/>
        <w:t>- pozwolenia na użytkowanie obiektu,</w:t>
      </w:r>
    </w:p>
    <w:p>
      <w:pPr>
        <w:pStyle w:val="WWTekstpodstawowy3"/>
        <w:tabs>
          <w:tab w:val="clear" w:pos="708"/>
          <w:tab w:val="left" w:pos="735" w:leader="none"/>
          <w:tab w:val="left" w:pos="2083" w:leader="none"/>
        </w:tabs>
        <w:ind w:left="360" w:hanging="0"/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ab/>
        <w:t>- końcowego rozliczenia inwestycji,</w:t>
      </w:r>
    </w:p>
    <w:p>
      <w:pPr>
        <w:pStyle w:val="WWTekstpodstawowy3"/>
        <w:tabs>
          <w:tab w:val="clear" w:pos="708"/>
          <w:tab w:val="left" w:pos="735" w:leader="none"/>
          <w:tab w:val="left" w:pos="2083" w:leader="none"/>
        </w:tabs>
        <w:ind w:left="360" w:hanging="0"/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ab/>
        <w:t>- dokumentacji powykonawczej,</w:t>
      </w:r>
    </w:p>
    <w:p>
      <w:pPr>
        <w:pStyle w:val="WWTekstpodstawowy3"/>
        <w:tabs>
          <w:tab w:val="clear" w:pos="708"/>
          <w:tab w:val="left" w:pos="735" w:leader="none"/>
          <w:tab w:val="left" w:pos="2083" w:leader="none"/>
        </w:tabs>
        <w:ind w:left="360" w:hanging="0"/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ab/>
        <w:t>- kompletu dokumentów odbiorowych umożliwiających eksploatację obiektu,</w:t>
      </w:r>
    </w:p>
    <w:p>
      <w:pPr>
        <w:pStyle w:val="WWTekstpodstawowy3"/>
        <w:tabs>
          <w:tab w:val="clear" w:pos="708"/>
          <w:tab w:val="left" w:pos="735" w:leader="none"/>
          <w:tab w:val="left" w:pos="2083" w:leader="none"/>
        </w:tabs>
        <w:ind w:left="360" w:hanging="0"/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ab/>
        <w:t>- korespondencji i innej dokumentacji dotyczącej wykonanej inwestycji,</w:t>
      </w:r>
    </w:p>
    <w:p>
      <w:pPr>
        <w:pStyle w:val="WWTekstpodstawowy3"/>
        <w:tabs>
          <w:tab w:val="clear" w:pos="708"/>
          <w:tab w:val="left" w:pos="735" w:leader="none"/>
          <w:tab w:val="left" w:pos="2083" w:leader="none"/>
        </w:tabs>
        <w:ind w:left="708" w:hanging="0"/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ab/>
        <w:t>- kart gwarancyjnych i harmonogramów przeglądów wbudowanych urządzeń wynikających z gwarancji i rękojmi określonych w umowach i przepisach prawa.</w:t>
      </w:r>
    </w:p>
    <w:p>
      <w:pPr>
        <w:pStyle w:val="Tretekstu"/>
        <w:numPr>
          <w:ilvl w:val="0"/>
          <w:numId w:val="9"/>
        </w:numPr>
        <w:suppressAutoHyphens w:val="true"/>
        <w:spacing w:lineRule="auto" w:line="240"/>
        <w:rPr>
          <w:rFonts w:eastAsia="Calibri" w:cs="Arial" w:eastAsiaTheme="minorHAnsi"/>
          <w:szCs w:val="24"/>
          <w:lang w:eastAsia="en-US"/>
        </w:rPr>
      </w:pPr>
      <w:r>
        <w:rPr>
          <w:rFonts w:eastAsia="Calibri" w:cs="Arial" w:eastAsiaTheme="minorHAnsi"/>
          <w:szCs w:val="24"/>
          <w:lang w:eastAsia="en-US"/>
        </w:rPr>
        <w:t>Zamawiający ma prawo odmówić przyjęcia faktury VAT w przypadku: nieprawidłowo wystawionej faktury, w razie wad/usterek stwierdzonych podczas kontroli oraz w przypadku braku podpisania przez obie strony protokołu odbioru.</w:t>
      </w:r>
    </w:p>
    <w:p>
      <w:pPr>
        <w:pStyle w:val="WWTekstpodstawowy3"/>
        <w:numPr>
          <w:ilvl w:val="0"/>
          <w:numId w:val="9"/>
        </w:numPr>
        <w:tabs>
          <w:tab w:val="clear" w:pos="708"/>
          <w:tab w:val="left" w:pos="735" w:leader="none"/>
          <w:tab w:val="left" w:pos="2083" w:leader="none"/>
        </w:tabs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>Za dzień zapłaty uznaje się dzień uznania na rachunku Wykonawcy.</w:t>
      </w:r>
    </w:p>
    <w:p>
      <w:pPr>
        <w:pStyle w:val="WWTekstpodstawowy3"/>
        <w:numPr>
          <w:ilvl w:val="0"/>
          <w:numId w:val="9"/>
        </w:numPr>
        <w:tabs>
          <w:tab w:val="clear" w:pos="708"/>
          <w:tab w:val="left" w:pos="735" w:leader="none"/>
          <w:tab w:val="left" w:pos="2083" w:leader="none"/>
        </w:tabs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Jeśli numer rachunku rozliczeniowego wskazany przez Wykonawcę, </w:t>
        <w:br/>
        <w:t xml:space="preserve">o którym mowa w ust. 6 jest rachunkiem dla którego zgodnie z Rozdziałem 3a ustawy z dnia 29 sierpnia 1997 r. – Prawo Bankowe </w:t>
      </w:r>
      <w:hyperlink r:id="rId2">
        <w:r>
          <w:rPr>
            <w:rFonts w:eastAsia="Calibri" w:cs="Arial" w:ascii="Arial" w:hAnsi="Arial" w:eastAsiaTheme="minorHAnsi"/>
            <w:szCs w:val="24"/>
            <w:lang w:val="pl-PL" w:eastAsia="en-US"/>
          </w:rPr>
          <w:t>(Dz.U. z 2022 r. poz. 2324)</w:t>
        </w:r>
      </w:hyperlink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 prowadzony jest rachunek VAT to:</w:t>
      </w:r>
    </w:p>
    <w:p>
      <w:pPr>
        <w:pStyle w:val="WWTekstpodstawowy3"/>
        <w:numPr>
          <w:ilvl w:val="1"/>
          <w:numId w:val="12"/>
        </w:numPr>
        <w:tabs>
          <w:tab w:val="clear" w:pos="708"/>
          <w:tab w:val="left" w:pos="852" w:leader="none"/>
          <w:tab w:val="left" w:pos="2509" w:leader="none"/>
        </w:tabs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Zamawiający oświadcza, że będzie realizować płatności za faktury </w:t>
        <w:br/>
        <w:t xml:space="preserve">z zastosowaniem mechanizmu podzielonej płatności tzw. split payment. </w:t>
        <w:br/>
        <w:t>Zapłatę w tym systemie uznaje się za dokonanie płatności w terminie ustalonym w § 3 ust. 4 Umowy;</w:t>
      </w:r>
    </w:p>
    <w:p>
      <w:pPr>
        <w:pStyle w:val="WWTekstpodstawowy3"/>
        <w:numPr>
          <w:ilvl w:val="1"/>
          <w:numId w:val="12"/>
        </w:numPr>
        <w:tabs>
          <w:tab w:val="clear" w:pos="708"/>
          <w:tab w:val="left" w:pos="852" w:leader="none"/>
          <w:tab w:val="left" w:pos="2509" w:leader="none"/>
        </w:tabs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Podzieloną płatność tzw. split payment stosuje się wyłącznie przy płatnościach bezgotówkowych, realizowanych za pośrednictwem polecenia przelewu </w:t>
        <w:br/>
        <w:t xml:space="preserve">lub polecenia zapłaty dla czynnych podatników VAT. Mechanizm podzielonej płatności nie będzie wykorzystywany do zapłaty za czynności lub zdarzenia pozostające poza zakresem VAT (np. zapłata odszkodowania), </w:t>
        <w:br/>
        <w:t xml:space="preserve">a także </w:t>
      </w:r>
      <w:bookmarkStart w:id="3" w:name="_GoBack"/>
      <w:bookmarkEnd w:id="3"/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za świadczenia zwolnione z VAT, opodatkowane stawką 0 % lub objęte odwrotnym obciążeniem; </w:t>
      </w:r>
    </w:p>
    <w:p>
      <w:pPr>
        <w:pStyle w:val="WWTekstpodstawowy3"/>
        <w:numPr>
          <w:ilvl w:val="1"/>
          <w:numId w:val="12"/>
        </w:numPr>
        <w:tabs>
          <w:tab w:val="clear" w:pos="708"/>
          <w:tab w:val="left" w:pos="852" w:leader="none"/>
          <w:tab w:val="left" w:pos="2509" w:leader="none"/>
        </w:tabs>
        <w:rPr>
          <w:rFonts w:ascii="Arial" w:hAnsi="Arial" w:eastAsia="Calibri" w:cs="Arial" w:eastAsiaTheme="minorHAnsi"/>
          <w:szCs w:val="24"/>
          <w:lang w:val="pl-PL" w:eastAsia="en-US"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Wykonawca oświadcza, że wyraża zgodę na dokonywanie </w:t>
        <w:br/>
        <w:t xml:space="preserve">przez Zamawiającego płatności w systemie podzielonej płatności </w:t>
        <w:br/>
        <w:t>tzw. split payment.</w:t>
      </w:r>
    </w:p>
    <w:p>
      <w:pPr>
        <w:pStyle w:val="Tretekstu"/>
        <w:numPr>
          <w:ilvl w:val="0"/>
          <w:numId w:val="10"/>
        </w:numPr>
        <w:suppressAutoHyphens w:val="true"/>
        <w:spacing w:lineRule="auto" w:line="240"/>
        <w:rPr>
          <w:rFonts w:eastAsia="Calibri" w:cs="Arial" w:eastAsiaTheme="minorHAnsi"/>
          <w:szCs w:val="24"/>
          <w:lang w:eastAsia="en-US"/>
        </w:rPr>
      </w:pPr>
      <w:r>
        <w:rPr>
          <w:rFonts w:eastAsia="Calibri" w:cs="Arial" w:eastAsiaTheme="minorHAnsi"/>
          <w:szCs w:val="24"/>
          <w:lang w:eastAsia="en-US"/>
        </w:rPr>
        <w:t>Wystawione faktury VAT, duplikaty faktur VAT lub korekty faktur VAT Wykonawca doręczy Zamawiającemu w jeden z poniższych sposobów:</w:t>
      </w:r>
    </w:p>
    <w:p>
      <w:pPr>
        <w:pStyle w:val="ListParagraph"/>
        <w:numPr>
          <w:ilvl w:val="0"/>
          <w:numId w:val="11"/>
        </w:numPr>
        <w:spacing w:lineRule="auto" w:line="252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 adres Zamawiającego: ul. Mickiewicza 1, 10-959 Olsztyn; </w:t>
      </w:r>
    </w:p>
    <w:p>
      <w:pPr>
        <w:pStyle w:val="ListParagraph"/>
        <w:numPr>
          <w:ilvl w:val="0"/>
          <w:numId w:val="11"/>
        </w:numPr>
        <w:spacing w:lineRule="auto" w:line="252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 adres mailowy Zamawiającego: </w:t>
      </w:r>
      <w:hyperlink r:id="rId3">
        <w:r>
          <w:rPr>
            <w:rFonts w:cs="Arial" w:ascii="Arial" w:hAnsi="Arial"/>
            <w:sz w:val="24"/>
            <w:szCs w:val="24"/>
          </w:rPr>
          <w:t>olsztyn@krus.gov.pl</w:t>
        </w:r>
      </w:hyperlink>
    </w:p>
    <w:p>
      <w:pPr>
        <w:pStyle w:val="ListParagraph"/>
        <w:spacing w:lineRule="auto" w:line="252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wyboru tej formy Wykonawca oświadcza, że adresem mailowym, z którego będą wysyłane faktury VAT, korekty faktur VAT, duplikaty faktur VAT będzie adres:…………………………………..;</w:t>
      </w:r>
    </w:p>
    <w:p>
      <w:pPr>
        <w:pStyle w:val="ListParagraph"/>
        <w:numPr>
          <w:ilvl w:val="0"/>
          <w:numId w:val="11"/>
        </w:numPr>
        <w:spacing w:lineRule="auto" w:line="252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formie ustrukturyzowanych faktur elektronicznych za pomocą platformy elektronicznego fakturowania, na konto użytkownika o numerze NIP: 5260013054, tj. Kasy Rolniczego Ubezpieczenia Społecznego.</w:t>
      </w:r>
    </w:p>
    <w:p>
      <w:pPr>
        <w:pStyle w:val="WWTekstpodstawowy3"/>
        <w:tabs>
          <w:tab w:val="clear" w:pos="708"/>
          <w:tab w:val="left" w:pos="735" w:leader="none"/>
          <w:tab w:val="left" w:pos="2083" w:leader="none"/>
        </w:tabs>
        <w:ind w:left="360" w:hanging="0"/>
        <w:rPr>
          <w:rFonts w:ascii="Arial" w:hAnsi="Arial" w:cs="Arial"/>
          <w:szCs w:val="24"/>
          <w:lang w:val="pl-PL"/>
        </w:rPr>
      </w:pPr>
      <w:r>
        <w:rPr>
          <w:rFonts w:cs="Arial" w:ascii="Arial" w:hAnsi="Arial"/>
          <w:szCs w:val="24"/>
          <w:lang w:val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4</w:t>
      </w:r>
      <w:bookmarkStart w:id="4" w:name="_Hlk135401248"/>
      <w:bookmarkEnd w:id="4"/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Inwestor Zastępczy wniósł tytułem zabezpieczenia należytego wykonania umowy zabezpieczenie w wysokości 5 % ceny całkowitej podanej  w ofercie, </w:t>
        <w:br/>
        <w:t>tj. w kwocie…………………………………….………………zł (słownie:……………………………………………………………………………..zł).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Zabezpieczenie służy pokryciu roszczeń z tytułu niewykonania lub nienależytego wykonania umowy.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Zamawiający dokona zwrotu zabezpieczenia należytego wykonania Umowy złożonego w gotówce, w następujący sposób: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70% (siedemdziesiąt procent) tej kwoty tj. …….. …zł (słownie:…………złotych)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zostanie zwrócona przez Zamawiającego w terminie 30 dni od dnia podpisania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protokołu, o którym mowa w § 1 ust. 5 pkt 3 r), 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30% (trzydzieści procent) tej kwoty tj. ……… zł (słownie: …………..złotych)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Zostanie zwrócona przez Zamawiającego nie później niż w terminie 15 dni od dnia podpisania protokołu ostatecznego, o którym mowa w § 1 ust. 5 pkt 3 v), 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284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5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Inwestor Zastępczy ponosi odpowiedzialność za wszelkie szkody poniesione </w:t>
        <w:br/>
        <w:t xml:space="preserve">przez Inwestora Bezpośredniego pozostające w związku z niewykonaniem </w:t>
        <w:br/>
        <w:t>lub nienależytym wykonaniem przedmiotu Umowy.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Inwestor Zastępczy zostanie obciążony przez Inwestora Bezpośredniego karą umowną w razie:</w:t>
      </w:r>
    </w:p>
    <w:p>
      <w:pPr>
        <w:pStyle w:val="WWTekstpodstawowy3"/>
        <w:numPr>
          <w:ilvl w:val="0"/>
          <w:numId w:val="13"/>
        </w:numPr>
        <w:tabs>
          <w:tab w:val="clear" w:pos="708"/>
          <w:tab w:val="left" w:pos="1134" w:leader="none"/>
        </w:tabs>
        <w:rPr>
          <w:rFonts w:ascii="Arial" w:hAnsi="Arial" w:cs="Arial"/>
          <w:szCs w:val="24"/>
          <w:lang w:val="pl-PL"/>
        </w:rPr>
      </w:pPr>
      <w:r>
        <w:rPr>
          <w:rFonts w:cs="Arial" w:ascii="Arial" w:hAnsi="Arial"/>
          <w:szCs w:val="24"/>
          <w:lang w:val="pl-PL"/>
        </w:rPr>
        <w:t xml:space="preserve">odstąpienia od Umowy przez Inwestora Bezpośredniego z przyczyn, </w:t>
        <w:br/>
        <w:t xml:space="preserve">za które ponosi odpowiedzialność Inwestor Zastępczy – w wysokości 20 % wynagrodzenia określonego w § 3 ust. 1 </w:t>
      </w:r>
      <w:bookmarkStart w:id="5" w:name="_Hlk129949595"/>
      <w:r>
        <w:rPr>
          <w:rFonts w:cs="Arial" w:ascii="Arial" w:hAnsi="Arial"/>
          <w:szCs w:val="24"/>
          <w:lang w:val="pl-PL"/>
        </w:rPr>
        <w:t>Umowy</w:t>
      </w:r>
      <w:bookmarkEnd w:id="5"/>
      <w:r>
        <w:rPr>
          <w:rFonts w:cs="Arial" w:ascii="Arial" w:hAnsi="Arial"/>
          <w:szCs w:val="24"/>
          <w:lang w:val="pl-PL"/>
        </w:rPr>
        <w:t>,</w:t>
      </w:r>
    </w:p>
    <w:p>
      <w:pPr>
        <w:pStyle w:val="WWTekstpodstawowy3"/>
        <w:numPr>
          <w:ilvl w:val="0"/>
          <w:numId w:val="13"/>
        </w:numPr>
        <w:tabs>
          <w:tab w:val="clear" w:pos="708"/>
          <w:tab w:val="left" w:pos="1134" w:leader="none"/>
        </w:tabs>
        <w:rPr>
          <w:rFonts w:ascii="Arial" w:hAnsi="Arial" w:cs="Arial"/>
          <w:szCs w:val="24"/>
          <w:lang w:val="pl-PL"/>
        </w:rPr>
      </w:pPr>
      <w:r>
        <w:rPr>
          <w:rFonts w:cs="Arial" w:ascii="Arial" w:hAnsi="Arial"/>
          <w:szCs w:val="24"/>
          <w:lang w:val="pl-PL"/>
        </w:rPr>
        <w:t>opóźnienia w wykonaniu przedmiotu Umowy z przyczyn, za które ponosi odpowiedzialność Inwestor Zastępczy – w wysokości 1% wynagrodzenia określonego w § 3 ust. 1 Umowy za każdy dzień opóźnienia,</w:t>
      </w:r>
    </w:p>
    <w:p>
      <w:pPr>
        <w:pStyle w:val="WWTekstpodstawowy3"/>
        <w:numPr>
          <w:ilvl w:val="0"/>
          <w:numId w:val="13"/>
        </w:numPr>
        <w:tabs>
          <w:tab w:val="clear" w:pos="708"/>
          <w:tab w:val="left" w:pos="852" w:leader="none"/>
          <w:tab w:val="left" w:pos="2509" w:leader="none"/>
        </w:tabs>
        <w:rPr>
          <w:rFonts w:ascii="Arial" w:hAnsi="Arial" w:cs="Arial"/>
          <w:szCs w:val="24"/>
          <w:lang w:val="pl-PL"/>
        </w:rPr>
      </w:pPr>
      <w:r>
        <w:rPr>
          <w:rFonts w:cs="Arial" w:ascii="Arial" w:hAnsi="Arial"/>
          <w:szCs w:val="24"/>
          <w:lang w:val="pl-PL"/>
        </w:rPr>
        <w:t>opóźnienia z przyczyn, za które ponosi odpowiedzialność Inwestor Zastępczy w usunięciu usterek lub wad stwierdzonych w protokołach odbioru częściowym, końcowym i ostatecznym – w wysokości 1% wynagrodzenia określonego w § 3 ust. 1 Umowy za każdy dzień opóźnienia, po upływie terminu na usunięcie wad,</w:t>
      </w:r>
    </w:p>
    <w:p>
      <w:pPr>
        <w:pStyle w:val="WWTekstpodstawowy3"/>
        <w:numPr>
          <w:ilvl w:val="0"/>
          <w:numId w:val="13"/>
        </w:numPr>
        <w:tabs>
          <w:tab w:val="clear" w:pos="708"/>
          <w:tab w:val="left" w:pos="852" w:leader="none"/>
          <w:tab w:val="left" w:pos="2509" w:leader="none"/>
        </w:tabs>
        <w:rPr>
          <w:rFonts w:ascii="Arial" w:hAnsi="Arial" w:cs="Arial"/>
          <w:szCs w:val="24"/>
          <w:lang w:val="pl-PL"/>
        </w:rPr>
      </w:pPr>
      <w:r>
        <w:rPr>
          <w:rFonts w:cs="Arial" w:ascii="Arial" w:hAnsi="Arial"/>
          <w:szCs w:val="24"/>
          <w:lang w:val="pl-PL"/>
        </w:rPr>
        <w:t xml:space="preserve">opóźnienia w wykonywaniu obowiązków, o których mowa </w:t>
        <w:br/>
        <w:t>w § 1 – w wysokości 0,5% wynagrodzenia określonego w § 3 ust. 1 Umowy za każdy dzień opóźnienia.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 przypadku poniesienia szkody przewyższającej karę umowną, Zamawiający zastrzega sobie prawo dochodzenia odszkodowania.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Inwestor Bezpośredni uprawniony jest do potrącenia kar umownych </w:t>
        <w:br/>
        <w:t xml:space="preserve">z wynagrodzenia należnego Inwestorowi Zastępczemu. 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Kary, o których mowa w ust. 2, nie wykluczają się wzajemnie.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Łączna wysokość kar umownych nie może przekroczyć 50% wynagrodzenia określonego w § 3 ust. 1 Umowy. 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6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Inwestor Bezpośredni może jednostronnie odstąpić od Umowy ze skutkiem natychmiastowym w przypadku:</w:t>
      </w:r>
    </w:p>
    <w:p>
      <w:pPr>
        <w:pStyle w:val="Domy"/>
        <w:numPr>
          <w:ilvl w:val="0"/>
          <w:numId w:val="15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szCs w:val="24"/>
        </w:rPr>
        <w:t>nierozpoczęcia przez Wykonawcę wykonywania obowiązków wynikających z Umowy w terminie 7 dni od jej zawarcia,</w:t>
      </w:r>
    </w:p>
    <w:p>
      <w:pPr>
        <w:pStyle w:val="Domy"/>
        <w:numPr>
          <w:ilvl w:val="0"/>
          <w:numId w:val="15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szCs w:val="24"/>
        </w:rPr>
        <w:t>nienależytego wykonywania obowiązków wynikających z postanowień Umowy,</w:t>
      </w:r>
    </w:p>
    <w:p>
      <w:pPr>
        <w:pStyle w:val="Domy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złożenia wniosku o ogłoszenie upadłości Wykonawcy,</w:t>
      </w:r>
    </w:p>
    <w:p>
      <w:pPr>
        <w:pStyle w:val="Domy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zajęcia majątku  w zakresie utrudniającym prawidłowe i terminowe zrealizowanie niniejszej Umowy,</w:t>
      </w:r>
    </w:p>
    <w:p>
      <w:pPr>
        <w:pStyle w:val="Domy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przerwania wykonywania obowiązków wynikających z niniejszej Umowy, </w:t>
        <w:br/>
        <w:t>a przerwa trwa dłużej niż 2 tygodnie,</w:t>
      </w:r>
    </w:p>
    <w:p>
      <w:pPr>
        <w:pStyle w:val="Domy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opóźnienia w wykonywaniu prac adaptacyjnych z winy Inwestora Zastępczego.</w:t>
      </w:r>
    </w:p>
    <w:p>
      <w:pPr>
        <w:pStyle w:val="Domy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 xml:space="preserve">Oświadczenie o odstąpieniu od Umowy powinno być dokonane na piśmie najpóźniej w terminie 21 dni od zaistnienia okoliczności przewidzianych w ust. 1. </w:t>
      </w:r>
    </w:p>
    <w:p>
      <w:pPr>
        <w:pStyle w:val="Domy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Zamawiający może odstąpić od Umowy</w:t>
      </w:r>
      <w:bookmarkStart w:id="6" w:name="mip64560089"/>
      <w:bookmarkEnd w:id="6"/>
      <w:r>
        <w:rPr>
          <w:rFonts w:cs="Arial" w:ascii="Arial" w:hAnsi="Arial"/>
          <w:szCs w:val="24"/>
        </w:rPr>
        <w:t xml:space="preserve"> w terminie 30 dni od dnia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publicznemu. </w:t>
      </w:r>
    </w:p>
    <w:p>
      <w:pPr>
        <w:pStyle w:val="Domy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Odstąpienie od Umowy nie pozbawia Zamawiającego prawa do dochodzenia kar umownych określonych w niniejszej Umowie.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7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Inwestor Zastępczy, w ramach wynagrodzenia określonego w § 3 ust. 1 Umowy, przenosi    na Zamawiającego wszystkie autorskie prawa majątkowe do wszelkich utworów powstałych w toku realizacji przedmiotu umowy, a które dotyczą przedmiotu umowy, wraz z prawem do ich wykorzystania. Inwestor Zastępczy wyraża zgodę na to, że stworzone przez niego opracowania i dokumenty w okresie obowiązywania Umowy, dotyczące przedmiotu umowy stanowić będą własność Zamawiającego, włącznie z prawem do ich wykorzystania, bez konieczności zawierania odrębnej umowy w tym zakresie.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Inwestor Zastępczy przenosi autorskie prawa majątkowe do dokumentacji odpowiednio z chwilą ich przekazania Inwestorowi Bezpośredniemu wraz z prawem do wielokrotnego, bezterminowego wykorzystywania. 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Z chwilą przeniesienia na Zamawiającego autorskich praw majątkowych przechodzi na Zamawiającego własność nośników, na których utrwalono utwory. 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Inwestor Zastępczy ponosi pełną odpowiedzialność za wady prawne </w:t>
        <w:br/>
        <w:t>(w szczególności roszczenia osób trzecich wynikające z naruszenia praw własności intelektualnej lub dóbr osobistych) wytworzonych utworów i zobowiązany jest do naprawienia szkody z tym związanej.</w:t>
      </w:r>
    </w:p>
    <w:p>
      <w:pPr>
        <w:pStyle w:val="ListParagraph"/>
        <w:spacing w:before="0" w:after="0"/>
        <w:ind w:left="284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before="0" w:after="0"/>
        <w:ind w:left="284" w:hanging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</w:t>
      </w:r>
    </w:p>
    <w:p>
      <w:pPr>
        <w:pStyle w:val="Normal"/>
        <w:numPr>
          <w:ilvl w:val="2"/>
          <w:numId w:val="19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zobowiązuje się do niewykorzystywania pozyskanych informacji </w:t>
        <w:br/>
        <w:t>w trakcie realizacji Umowy w celach innych niż określone w niniejszej Umowie.</w:t>
      </w:r>
    </w:p>
    <w:p>
      <w:pPr>
        <w:pStyle w:val="Normal"/>
        <w:numPr>
          <w:ilvl w:val="2"/>
          <w:numId w:val="19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zobowiązuje się przestrzegać tajemnicy danych osobowych określonych w ustawie z dnia 29 sierpnia 1997 r. o ochronie danych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osobowych </w:t>
      </w:r>
      <w:hyperlink r:id="rId4">
        <w:r>
          <w:rPr>
            <w:rStyle w:val="Czeinternetowe"/>
            <w:rFonts w:cs="Arial" w:ascii="Arial" w:hAnsi="Arial"/>
            <w:color w:val="000000" w:themeColor="text1"/>
            <w:sz w:val="24"/>
            <w:szCs w:val="24"/>
            <w:u w:val="none"/>
          </w:rPr>
          <w:t>(Dz.U. z 2019 r. poz. 1781)</w:t>
        </w:r>
      </w:hyperlink>
      <w:r>
        <w:rPr>
          <w:rFonts w:cs="Arial" w:ascii="Arial" w:hAnsi="Arial"/>
          <w:color w:val="000000" w:themeColor="text1"/>
          <w:sz w:val="24"/>
          <w:szCs w:val="24"/>
        </w:rPr>
        <w:t>.</w:t>
      </w:r>
    </w:p>
    <w:p>
      <w:pPr>
        <w:pStyle w:val="Normal"/>
        <w:numPr>
          <w:ilvl w:val="2"/>
          <w:numId w:val="19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zobowiązuje się zachować w tajemnicy wszelkie informacje dotyczące Zamawiającego lub działalności przez niego prowadzonej, które znajdą się </w:t>
        <w:br/>
        <w:t xml:space="preserve">w posiadaniu Wykonawcy w związku z realizacją niniejszej Umowy, jednakże postanowienie to nie odnosi się do informacji, które są powszechnie znane </w:t>
        <w:br/>
        <w:t>lub zostaną podane do publicznej wiadomości samodzielnie przez Zamawiającego.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9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360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Zmiany umowy pod rygorem nieważności wymagają formy pisemnej.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360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Na podstawie art. 455 ustawy z dnia 11 września 2019 r. Prawo zamówień publicznych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(</w:t>
      </w:r>
      <w:hyperlink r:id="rId5">
        <w:r>
          <w:rPr>
            <w:rStyle w:val="Czeinternetowe"/>
            <w:rFonts w:eastAsia="Arial" w:cs="Arial" w:ascii="Arial" w:hAnsi="Arial"/>
            <w:color w:val="000000" w:themeColor="text1"/>
            <w:sz w:val="24"/>
            <w:szCs w:val="24"/>
            <w:u w:val="none"/>
          </w:rPr>
          <w:t>Dz.U. z 2022 r. poz. 1710)</w:t>
        </w:r>
      </w:hyperlink>
      <w:r>
        <w:rPr>
          <w:rFonts w:eastAsia="Arial" w:cs="Arial" w:ascii="Arial" w:hAnsi="Arial"/>
          <w:sz w:val="24"/>
          <w:szCs w:val="24"/>
        </w:rPr>
        <w:t xml:space="preserve"> Zamawiający przewiduje możliwość zmiany postanowień Umowy w stosunku do treści oferty, na podstawie której wykonano wyboru Wykonawcy w przypadku: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zmiany powszechnie obowiązujących przepisów prawa - w zakresie, w jakim będzie   to niezbędne w celu dostosowania postanowień Umowy do zaistniałego stanu prawnego,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zaistnieniu siły wyższej, uniemożliwiającej wykonanie zobowiązań wynikających z Umowy w całości lub części,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zmiany nazwy lub danych Wykonawcy.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360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Zmian Umowy nie stanowią: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zmiany osób występujących po stronie Zamawiającego i Wykonawcy wskazanych w Umowie,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zmiana numerów telefonów lub adresów poczty elektronicznej wskazanych </w:t>
        <w:br/>
        <w:t>w Umowie,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zmiana adresu doręczeń wskazanego w Umowie.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Strony zobowiązują się do przekazania informacji o wyżej wymienionych zmianach </w:t>
        <w:br/>
        <w:t xml:space="preserve">w formie pisemnej w terminie nie później niż 7 dni przed zmianą.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10</w:t>
      </w:r>
    </w:p>
    <w:p>
      <w:pPr>
        <w:pStyle w:val="Domy"/>
        <w:numPr>
          <w:ilvl w:val="0"/>
          <w:numId w:val="23"/>
        </w:numPr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Żadna ze stron nie może przenieść na inny podmiot obowiązków, uprawnień </w:t>
        <w:br/>
        <w:t>i wierzytelności wynikających z niniejszej Umowy bez uprzedniej pisemnej zgody drugiej Strony chyba, że niniejsza Umowa stanowi inaczej.</w:t>
      </w:r>
    </w:p>
    <w:p>
      <w:pPr>
        <w:pStyle w:val="Domy"/>
        <w:numPr>
          <w:ilvl w:val="0"/>
          <w:numId w:val="23"/>
        </w:numPr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W sprawach nieuregulowanych Umową zastosowanie mają przepisy ustawy z dnia 23 kwietnia 1964 r. Kodeks cywilny </w:t>
      </w:r>
      <w:hyperlink r:id="rId6">
        <w:r>
          <w:rPr>
            <w:rStyle w:val="Czeinternetowe"/>
            <w:rFonts w:cs="Arial" w:ascii="Arial" w:hAnsi="Arial"/>
            <w:color w:val="auto"/>
            <w:szCs w:val="24"/>
            <w:u w:val="none"/>
          </w:rPr>
          <w:t>(Dz.U. z 2022 r. poz. 1360)</w:t>
        </w:r>
      </w:hyperlink>
      <w:r>
        <w:rPr>
          <w:rFonts w:cs="Arial" w:ascii="Arial" w:hAnsi="Arial"/>
          <w:szCs w:val="24"/>
        </w:rPr>
        <w:t>, ustawy z dnia 7 lipca 1994 r. Prawo budowlane </w:t>
      </w:r>
      <w:hyperlink r:id="rId7">
        <w:r>
          <w:rPr>
            <w:rStyle w:val="Czeinternetowe"/>
            <w:rFonts w:cs="Arial" w:ascii="Arial" w:hAnsi="Arial"/>
            <w:color w:val="auto"/>
            <w:szCs w:val="24"/>
            <w:u w:val="none"/>
          </w:rPr>
          <w:t>(Dz.U. z 2021 r., poz. 2351)</w:t>
        </w:r>
      </w:hyperlink>
      <w:r>
        <w:rPr>
          <w:rFonts w:cs="Arial" w:ascii="Arial" w:hAnsi="Arial"/>
          <w:szCs w:val="24"/>
        </w:rPr>
        <w:t xml:space="preserve"> oraz ustawy z dnia </w:t>
        <w:br/>
        <w:t>11 września 2019 r. Prawo zamówień publicznych (</w:t>
      </w:r>
      <w:hyperlink r:id="rId8">
        <w:r>
          <w:rPr>
            <w:rStyle w:val="Czeinternetowe"/>
            <w:rFonts w:cs="Arial" w:ascii="Arial" w:hAnsi="Arial"/>
            <w:color w:val="auto"/>
            <w:szCs w:val="24"/>
            <w:u w:val="none"/>
          </w:rPr>
          <w:t>Dz.U. z 2022 r. poz. 1710)</w:t>
        </w:r>
      </w:hyperlink>
      <w:r>
        <w:rPr>
          <w:rFonts w:cs="Arial" w:ascii="Arial" w:hAnsi="Arial"/>
          <w:szCs w:val="24"/>
        </w:rPr>
        <w:t>.</w:t>
      </w:r>
    </w:p>
    <w:p>
      <w:pPr>
        <w:pStyle w:val="Domy"/>
        <w:numPr>
          <w:ilvl w:val="0"/>
          <w:numId w:val="23"/>
        </w:numPr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Ewentualne spory wynikłe z realizacji Umowy Strony będą rozstrzygać w drodze polubownej. W przypadku nie osiągnięcia porozumienia, sądem właściwym                                          do rozstrzygania sporów będzie sąd właściwy dla miejsca siedziby Zamawiającego.</w:t>
      </w:r>
    </w:p>
    <w:p>
      <w:pPr>
        <w:pStyle w:val="Domy"/>
        <w:numPr>
          <w:ilvl w:val="0"/>
          <w:numId w:val="23"/>
        </w:numPr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Umowę sporządzono w dwóch jednobrzmiących egzemplarzach, po jednym dla każdej ze Stron.</w:t>
      </w:r>
    </w:p>
    <w:p>
      <w:pPr>
        <w:pStyle w:val="Domy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Domy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Domy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Domy"/>
        <w:tabs>
          <w:tab w:val="clear" w:pos="708"/>
          <w:tab w:val="center" w:pos="2268" w:leader="none"/>
          <w:tab w:val="center" w:pos="6237" w:leader="none"/>
        </w:tabs>
        <w:spacing w:before="360" w:after="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         </w:t>
      </w:r>
      <w:r>
        <w:rPr>
          <w:rFonts w:cs="Arial" w:ascii="Arial" w:hAnsi="Arial"/>
          <w:szCs w:val="24"/>
        </w:rPr>
        <w:tab/>
        <w:t xml:space="preserve">WYKONAWCA                 </w:t>
        <w:tab/>
        <w:t xml:space="preserve">                                  ZAMAWIAJĄCY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252"/>
        <w:ind w:lef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Załączniki:</w:t>
      </w:r>
    </w:p>
    <w:p>
      <w:pPr>
        <w:pStyle w:val="ListParagraph"/>
        <w:numPr>
          <w:ilvl w:val="0"/>
          <w:numId w:val="26"/>
        </w:numPr>
        <w:spacing w:lineRule="auto" w:line="252" w:before="0" w:after="0"/>
        <w:contextualSpacing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Oświadczenie o kompletności dokumentacji projektowej - załącznik nr 1; </w:t>
      </w:r>
    </w:p>
    <w:p>
      <w:pPr>
        <w:pStyle w:val="ListParagraph"/>
        <w:numPr>
          <w:ilvl w:val="0"/>
          <w:numId w:val="26"/>
        </w:numPr>
        <w:spacing w:lineRule="auto" w:line="252" w:before="0" w:after="0"/>
        <w:contextualSpacing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Wykaz osób przewidzianych do realizacji Umowy - załącznik nr 2;</w:t>
      </w:r>
    </w:p>
    <w:p>
      <w:pPr>
        <w:pStyle w:val="ListParagraph"/>
        <w:spacing w:before="0" w:after="160"/>
        <w:ind w:left="252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lfae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mic Sans MS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hanging="284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hanging="284"/>
      </w:pPr>
      <w:rPr>
        <w:dstrike w:val="false"/>
        <w:strike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hanging="284"/>
      </w:pPr>
      <w:rPr>
        <w:dstrike w:val="false"/>
        <w:strike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rFonts w:ascii="Arial" w:hAnsi="Arial" w:eastAsia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Arial" w:hAnsi="Arial" w:cs="Arial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sz w:val="22"/>
        <w:b w:val="false"/>
        <w:szCs w:val="22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rFonts w:ascii="Arial" w:hAnsi="Arial" w:cs="Arial"/>
        <w:lang w:val="de-D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Arial" w:hAnsi="Arial" w:cs="Arial"/>
        <w:lang w:val="de-D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Arial" w:hAnsi="Arial" w:cs="Arial"/>
        <w:lang w:val="de-D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Arial" w:hAnsi="Arial" w:cs="Arial"/>
        <w:lang w:val="de-D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Arial" w:hAnsi="Arial" w:cs="Arial"/>
        <w:lang w:val="de-D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Arial" w:hAnsi="Arial" w:cs="Arial"/>
        <w:lang w:val="de-D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dstrike w:val="false"/>
        <w:strike w:val="false"/>
        <w:sz w:val="22"/>
        <w:szCs w:val="22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Arial" w:hAnsi="Arial" w:cs="Arial"/>
        <w:lang w:val="de-D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Arial" w:hAnsi="Arial" w:cs="Arial"/>
        <w:lang w:val="de-DE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z w:val="23"/>
        <w:szCs w:val="22"/>
        <w:rFonts w:ascii="Arial" w:hAnsi="Arial" w:cs="Arial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hanging="284"/>
      </w:pPr>
      <w:rPr>
        <w:dstrike w:val="false"/>
        <w:strike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2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hanging="284"/>
      </w:pPr>
      <w:rPr>
        <w:dstrike w:val="false"/>
        <w:strike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hanging="284"/>
      </w:pPr>
      <w:rPr>
        <w:dstrike w:val="false"/>
        <w:strike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b w:val="false"/>
        <w:szCs w:val="22"/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2"/>
        <w:rFonts w:ascii="Arial" w:hAnsi="Arial" w:eastAsia="Arial" w:cs="Arial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22"/>
        <w:szCs w:val="22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Arial" w:hAnsi="Arial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bullet"/>
      <w:lvlText w:val="˗"/>
      <w:lvlJc w:val="left"/>
      <w:pPr>
        <w:tabs>
          <w:tab w:val="num" w:pos="0"/>
        </w:tabs>
        <w:ind w:left="1418" w:hanging="171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sz w:val="18"/>
        <w:b w:val="false"/>
        <w:szCs w:val="18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2" w:customStyle="1">
    <w:name w:val="Font Style12"/>
    <w:qFormat/>
    <w:rsid w:val="001b2ae0"/>
    <w:rPr>
      <w:rFonts w:ascii="Sylfaen" w:hAnsi="Sylfaen" w:cs="Sylfaen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7a4a36"/>
    <w:rPr>
      <w:rFonts w:ascii="Arial" w:hAnsi="Arial" w:eastAsia="Times New Roman" w:cs="Times New Roman"/>
      <w:sz w:val="24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0228b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0228b"/>
    <w:rPr>
      <w:vertAlign w:val="superscript"/>
    </w:rPr>
  </w:style>
  <w:style w:type="character" w:styleId="Czeinternetowe">
    <w:name w:val="Łącze internetowe"/>
    <w:basedOn w:val="DefaultParagraphFont"/>
    <w:unhideWhenUsed/>
    <w:rsid w:val="005262f9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10a3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a4a36"/>
    <w:pPr>
      <w:spacing w:lineRule="atLeast" w:line="240" w:before="0" w:after="0"/>
      <w:jc w:val="both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1" w:customStyle="1">
    <w:name w:val="Akapit z listą1"/>
    <w:basedOn w:val="Normal"/>
    <w:qFormat/>
    <w:rsid w:val="00a914de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ListParagraph">
    <w:name w:val="List Paragraph"/>
    <w:basedOn w:val="Normal"/>
    <w:qFormat/>
    <w:rsid w:val="004d532d"/>
    <w:pPr>
      <w:spacing w:before="0" w:after="160"/>
      <w:ind w:left="720" w:hanging="0"/>
      <w:contextualSpacing/>
    </w:pPr>
    <w:rPr/>
  </w:style>
  <w:style w:type="paragraph" w:styleId="Style61" w:customStyle="1">
    <w:name w:val="Style6"/>
    <w:basedOn w:val="Normal"/>
    <w:qFormat/>
    <w:rsid w:val="001b2ae0"/>
    <w:pPr>
      <w:widowControl w:val="false"/>
      <w:spacing w:lineRule="exact" w:line="293" w:before="0" w:after="0"/>
      <w:ind w:hanging="350"/>
      <w:jc w:val="both"/>
    </w:pPr>
    <w:rPr>
      <w:rFonts w:ascii="Sylfaen" w:hAnsi="Sylfaen" w:eastAsia="Times New Roman" w:cs="Sylfaen"/>
      <w:sz w:val="24"/>
      <w:szCs w:val="24"/>
      <w:lang w:eastAsia="ar-SA"/>
    </w:rPr>
  </w:style>
  <w:style w:type="paragraph" w:styleId="ZnakZnak" w:customStyle="1">
    <w:name w:val="Znak Znak"/>
    <w:basedOn w:val="Normal"/>
    <w:qFormat/>
    <w:rsid w:val="007a4a36"/>
    <w:pPr>
      <w:spacing w:lineRule="auto" w:line="360" w:before="0" w:after="0"/>
      <w:jc w:val="both"/>
    </w:pPr>
    <w:rPr>
      <w:rFonts w:ascii="Verdana" w:hAnsi="Verdana" w:eastAsia="Times New Roman" w:cs="Times New Roman"/>
      <w:sz w:val="20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0228b"/>
    <w:pPr>
      <w:spacing w:lineRule="auto" w:line="240" w:before="0" w:after="0"/>
    </w:pPr>
    <w:rPr>
      <w:sz w:val="20"/>
      <w:szCs w:val="20"/>
    </w:rPr>
  </w:style>
  <w:style w:type="paragraph" w:styleId="WWTekstpodstawowy3" w:customStyle="1">
    <w:name w:val="WW-Tekst podstawowy 3"/>
    <w:basedOn w:val="Normal"/>
    <w:qFormat/>
    <w:rsid w:val="0061069e"/>
    <w:pPr>
      <w:widowControl w:val="false"/>
      <w:suppressAutoHyphens w:val="true"/>
      <w:spacing w:lineRule="auto" w:line="240" w:before="0" w:after="0"/>
      <w:jc w:val="both"/>
    </w:pPr>
    <w:rPr>
      <w:rFonts w:ascii="Comic Sans MS" w:hAnsi="Comic Sans MS" w:eastAsia="Arial" w:cs="Comic Sans MS"/>
      <w:sz w:val="24"/>
      <w:szCs w:val="20"/>
      <w:lang w:val="de-DE" w:eastAsia="ar-SA"/>
    </w:rPr>
  </w:style>
  <w:style w:type="paragraph" w:styleId="Domy" w:customStyle="1">
    <w:name w:val="Domy"/>
    <w:qFormat/>
    <w:rsid w:val="00981a6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pl-PL" w:eastAsia="ar-SA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0a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qmjugyyda" TargetMode="External"/><Relationship Id="rId3" Type="http://schemas.openxmlformats.org/officeDocument/2006/relationships/hyperlink" Target="mailto:olsztyn@krus.gov.pl" TargetMode="External"/><Relationship Id="rId4" Type="http://schemas.openxmlformats.org/officeDocument/2006/relationships/hyperlink" Target="https://sip.legalis.pl/document-view.seam?documentId=mfrxilrtg4ytimbygm3ds" TargetMode="External"/><Relationship Id="rId5" Type="http://schemas.openxmlformats.org/officeDocument/2006/relationships/hyperlink" Target="https://sip.legalis.pl/document-view.seam?documentId=mfrxilrtg4ytoobrgm3da" TargetMode="External"/><Relationship Id="rId6" Type="http://schemas.openxmlformats.org/officeDocument/2006/relationships/hyperlink" Target="https://sip.legalis.pl/document-view.seam?documentId=mfrxilrtg4ytonzrhaydq" TargetMode="External"/><Relationship Id="rId7" Type="http://schemas.openxmlformats.org/officeDocument/2006/relationships/hyperlink" Target="https://sip.legalis.pl/document-view.seam?documentId=mfrxilrsgq2dinromjqxg2ld" TargetMode="External"/><Relationship Id="rId8" Type="http://schemas.openxmlformats.org/officeDocument/2006/relationships/hyperlink" Target="https://sip.legalis.pl/document-view.seam?documentId=mfrxilrtg4ytoobrgm3da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007B-F9A0-4D4E-972D-B91BE3CA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LibreOffice/7.1.1.2$Windows_X86_64 LibreOffice_project/fe0b08f4af1bacafe4c7ecc87ce55bb426164676</Application>
  <AppVersion>15.0000</AppVersion>
  <Pages>10</Pages>
  <Words>3237</Words>
  <Characters>21587</Characters>
  <CharactersWithSpaces>24794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2023-05-30T11:16:00Z</dcterms:created>
  <dc:creator>GRZEGORZ WASILUK</dc:creator>
  <dc:description/>
  <dc:language>pl-PL</dc:language>
  <cp:lastModifiedBy/>
  <cp:lastPrinted>2023-07-17T07:23:00Z</cp:lastPrinted>
  <dcterms:modified xsi:type="dcterms:W3CDTF">2023-07-18T12:05:04Z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