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4301CE0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5455E6">
        <w:rPr>
          <w:rFonts w:ascii="Calibri" w:hAnsi="Calibri"/>
          <w:b/>
          <w:sz w:val="21"/>
          <w:szCs w:val="21"/>
        </w:rPr>
        <w:t>110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26BDBFE2" w:rsidR="00B05079" w:rsidRDefault="00520E3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340A93" w:rsidRPr="00553919">
        <w:rPr>
          <w:rFonts w:asciiTheme="minorHAnsi" w:hAnsiTheme="minorHAnsi" w:cstheme="minorHAnsi"/>
          <w:b/>
          <w:sz w:val="21"/>
          <w:szCs w:val="21"/>
        </w:rPr>
        <w:t xml:space="preserve">prace remontowe polegające na wymianie </w:t>
      </w:r>
      <w:r w:rsidR="005455E6">
        <w:rPr>
          <w:rFonts w:asciiTheme="minorHAnsi" w:hAnsiTheme="minorHAnsi" w:cstheme="minorHAnsi"/>
          <w:b/>
          <w:sz w:val="21"/>
          <w:szCs w:val="21"/>
        </w:rPr>
        <w:t>czterech</w:t>
      </w:r>
      <w:r w:rsidR="00340A93" w:rsidRPr="00553919">
        <w:rPr>
          <w:rFonts w:asciiTheme="minorHAnsi" w:hAnsiTheme="minorHAnsi" w:cstheme="minorHAnsi"/>
          <w:b/>
          <w:sz w:val="21"/>
          <w:szCs w:val="21"/>
        </w:rPr>
        <w:t xml:space="preserve"> sztuk okien połaciowych wraz z pracami towarzyszącymi w budynku Placówki Terenowej Kasy Rolniczego Ubezpieczenia Społecznego </w:t>
      </w:r>
      <w:r w:rsidR="00340A93" w:rsidRPr="00553919">
        <w:rPr>
          <w:rFonts w:asciiTheme="minorHAnsi" w:hAnsiTheme="minorHAnsi" w:cstheme="minorHAnsi"/>
          <w:b/>
          <w:sz w:val="21"/>
          <w:szCs w:val="21"/>
        </w:rPr>
        <w:br/>
        <w:t>w Białej Podlaskiej, ul. Sadowa 11-21/12,21-500 Biała Podlaska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190CC" w14:textId="77777777" w:rsidR="008D796D" w:rsidRDefault="008D796D" w:rsidP="00146C7A">
      <w:r>
        <w:separator/>
      </w:r>
    </w:p>
  </w:endnote>
  <w:endnote w:type="continuationSeparator" w:id="0">
    <w:p w14:paraId="565173AC" w14:textId="77777777" w:rsidR="008D796D" w:rsidRDefault="008D796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5E6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5087E" w14:textId="77777777" w:rsidR="008D796D" w:rsidRDefault="008D796D" w:rsidP="00146C7A">
      <w:r>
        <w:separator/>
      </w:r>
    </w:p>
  </w:footnote>
  <w:footnote w:type="continuationSeparator" w:id="0">
    <w:p w14:paraId="36B392D0" w14:textId="77777777" w:rsidR="008D796D" w:rsidRDefault="008D796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48875D6F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5455E6">
                                <w:rPr>
                                  <w:rFonts w:ascii="Calibri" w:eastAsiaTheme="majorEastAsia" w:hAnsi="Calibri" w:cstheme="majorBidi"/>
                                </w:rPr>
                                <w:t>110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48875D6F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5455E6">
                          <w:rPr>
                            <w:rFonts w:ascii="Calibri" w:eastAsiaTheme="majorEastAsia" w:hAnsi="Calibri" w:cstheme="majorBidi"/>
                          </w:rPr>
                          <w:t>110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62BDEBDF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5455E6">
                                <w:rPr>
                                  <w:rFonts w:ascii="Calibri" w:eastAsiaTheme="majorEastAsia" w:hAnsi="Calibri"/>
                                </w:rPr>
                                <w:t>110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62BDEBDF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5455E6">
                          <w:rPr>
                            <w:rFonts w:ascii="Calibri" w:eastAsiaTheme="majorEastAsia" w:hAnsi="Calibri"/>
                          </w:rPr>
                          <w:t>110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455E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D796D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B3172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72D6-DA10-4A80-B041-9E9C855A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24</cp:revision>
  <cp:lastPrinted>2019-09-06T09:02:00Z</cp:lastPrinted>
  <dcterms:created xsi:type="dcterms:W3CDTF">2021-10-31T21:45:00Z</dcterms:created>
  <dcterms:modified xsi:type="dcterms:W3CDTF">2024-09-12T07:34:00Z</dcterms:modified>
</cp:coreProperties>
</file>