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55726BCC" w:rsidR="00272B31" w:rsidRPr="002E22DC" w:rsidRDefault="008B479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bookmarkStart w:id="0" w:name="_GoBack"/>
      <w:bookmarkEnd w:id="0"/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22BBEAD6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B20AB0">
        <w:rPr>
          <w:rFonts w:ascii="Calibri" w:hAnsi="Calibri"/>
          <w:b/>
          <w:sz w:val="21"/>
          <w:szCs w:val="21"/>
        </w:rPr>
        <w:t>7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6A5BA022" w:rsidR="006560CB" w:rsidRPr="004E0AEE" w:rsidRDefault="00A81391" w:rsidP="00444E07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653F1E">
        <w:rPr>
          <w:rFonts w:ascii="Calibri" w:hAnsi="Calibri"/>
          <w:b/>
          <w:sz w:val="21"/>
          <w:szCs w:val="21"/>
        </w:rPr>
        <w:t>naprawa</w:t>
      </w:r>
      <w:r w:rsidR="00653F1E" w:rsidRPr="00653F1E">
        <w:rPr>
          <w:rFonts w:ascii="Calibri" w:hAnsi="Calibri"/>
          <w:b/>
          <w:sz w:val="21"/>
          <w:szCs w:val="21"/>
        </w:rPr>
        <w:t xml:space="preserve"> maszyn frankujących Pitney Bowes  oraz maszyn kopertujących Spectrum, eksploatowanych w Oddziale Regionalnym Kasy Rolniczego Ubezpieczenia Społecznego w Lublinie oraz w podległych Placówkach Terenowych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B20AB0">
        <w:rPr>
          <w:rFonts w:ascii="Calibri" w:hAnsi="Calibri"/>
          <w:b/>
          <w:sz w:val="21"/>
          <w:szCs w:val="21"/>
        </w:rPr>
        <w:t>7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798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4F4438ED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B20AB0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4F4438ED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B20AB0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7D3AC-7627-4151-9B1B-9A47C948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61</cp:revision>
  <cp:lastPrinted>2024-01-15T09:39:00Z</cp:lastPrinted>
  <dcterms:created xsi:type="dcterms:W3CDTF">2021-10-31T21:38:00Z</dcterms:created>
  <dcterms:modified xsi:type="dcterms:W3CDTF">2025-01-10T07:55:00Z</dcterms:modified>
</cp:coreProperties>
</file>