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AFD0C" w14:textId="77777777" w:rsidR="007C5D56" w:rsidRPr="007C5D56" w:rsidRDefault="007C5D56">
      <w:pPr>
        <w:rPr>
          <w:rFonts w:ascii="Arial" w:hAnsi="Arial" w:cs="Arial"/>
          <w:b/>
          <w:bCs/>
          <w:sz w:val="22"/>
          <w:szCs w:val="22"/>
          <w:lang w:val="fr-FR"/>
        </w:rPr>
      </w:pPr>
      <w:r w:rsidRPr="007C5D56">
        <w:rPr>
          <w:rFonts w:ascii="Arial" w:hAnsi="Arial" w:cs="Arial"/>
          <w:b/>
          <w:bCs/>
          <w:sz w:val="22"/>
          <w:szCs w:val="22"/>
          <w:lang w:val="fr-FR"/>
        </w:rPr>
        <w:t>2. Tekst po francusku</w:t>
      </w:r>
    </w:p>
    <w:p w14:paraId="2D353F99" w14:textId="4DBC8444" w:rsidR="00E55CDA" w:rsidRPr="00E55CDA" w:rsidRDefault="00E55CDA">
      <w:pPr>
        <w:rPr>
          <w:rFonts w:ascii="Arial" w:hAnsi="Arial" w:cs="Arial"/>
          <w:sz w:val="22"/>
          <w:szCs w:val="22"/>
          <w:lang w:val="fr-FR"/>
        </w:rPr>
      </w:pPr>
      <w:r w:rsidRPr="00E55CDA">
        <w:rPr>
          <w:rFonts w:ascii="Arial" w:hAnsi="Arial" w:cs="Arial"/>
          <w:sz w:val="22"/>
          <w:szCs w:val="22"/>
          <w:lang w:val="fr-FR"/>
        </w:rPr>
        <w:t>L’Agence européenne pour la sécurité et la santé au travail estime que le coût des blessures et les maladies liées au travail représente 3,3 % du PIB de l’Union européenne. En France, le poids des problèmes de santé au travail reste néanmoins difficilement quantifiable dans la mesure où il relève de multiples acteurs (État, Sécurité sociale, entreprises, assurances privées…). Saisir l’ampleur du phénomène est donc un exercice délicat. (...)</w:t>
      </w:r>
    </w:p>
    <w:p w14:paraId="58ABB594" w14:textId="61DB1804" w:rsidR="00F724DD" w:rsidRPr="00E55CDA" w:rsidRDefault="00F724DD">
      <w:pPr>
        <w:rPr>
          <w:rFonts w:ascii="Arial" w:hAnsi="Arial" w:cs="Arial"/>
          <w:sz w:val="22"/>
          <w:szCs w:val="22"/>
          <w:lang w:val="fr-FR"/>
        </w:rPr>
      </w:pPr>
      <w:r w:rsidRPr="00E55CDA">
        <w:rPr>
          <w:rFonts w:ascii="Arial" w:hAnsi="Arial" w:cs="Arial"/>
          <w:sz w:val="22"/>
          <w:szCs w:val="22"/>
          <w:lang w:val="fr-FR"/>
        </w:rPr>
        <w:t xml:space="preserve">Au cours des années 2000, la fréquence des accidents du travail a nettement reculé. Cette tendance favorable s’explique par une combinaison de facteurs : des efforts accrus de prévention menés par les entreprises, une réglementation renforcée, l’amélioration des équipements de sécurité, mais aussi l’implication des organismes spécialisés, qu’il s’agisse des instances paritaires ou de l’inspection du travail. Parallèlement, la mutation du marché de l’emploi vers les services, généralement moins exposés aux risques physiques, a contribué à cette diminution. Depuis 2010, toutefois, cette dynamique s’essouffle. Les données montrent que le nombre d’accidents du travail et l’indice de fréquence (nombre d’accidents pour 1 000 salariés) sont globalement stables sur la période 2010-2019 (plan santé travail 2021-2025). </w:t>
      </w:r>
    </w:p>
    <w:p w14:paraId="56255C2B" w14:textId="724DC17F" w:rsidR="00E55CDA" w:rsidRPr="00E55CDA" w:rsidRDefault="00F724DD">
      <w:pPr>
        <w:rPr>
          <w:rFonts w:ascii="Arial" w:hAnsi="Arial" w:cs="Arial"/>
          <w:sz w:val="22"/>
          <w:szCs w:val="22"/>
          <w:lang w:val="fr-FR"/>
        </w:rPr>
      </w:pPr>
      <w:r w:rsidRPr="00E55CDA">
        <w:rPr>
          <w:rFonts w:ascii="Arial" w:hAnsi="Arial" w:cs="Arial"/>
          <w:sz w:val="22"/>
          <w:szCs w:val="22"/>
          <w:lang w:val="fr-FR"/>
        </w:rPr>
        <w:t xml:space="preserve">La situation est d’autant plus préoccupante que les maladies professionnelles poursuivent leur progression. Parmi elles, les troubles musculosquelettiques (TMS) connaissent une croissance continue, révélant de nouvelles formes de risques liés notamment à l’organisation du travail, aux postures prolongées ou aux gestes répétitifs. Enfin, la mortalité professionnelle demeure élevée. Depuis dix ans, le nombre d’accidents mortels ne recule pas : on compte en moyenne environ 560 décès par an dans le régime général et près de 80 décès dans le régime agricole. </w:t>
      </w:r>
    </w:p>
    <w:p w14:paraId="5BD73AF2" w14:textId="5F9AF13B" w:rsidR="00E66CBF" w:rsidRPr="00E55CDA" w:rsidRDefault="00F724DD">
      <w:pPr>
        <w:rPr>
          <w:rFonts w:ascii="Arial" w:hAnsi="Arial" w:cs="Arial"/>
          <w:sz w:val="22"/>
          <w:szCs w:val="22"/>
          <w:lang w:val="fr-FR"/>
        </w:rPr>
      </w:pPr>
      <w:r w:rsidRPr="00E55CDA">
        <w:rPr>
          <w:rFonts w:ascii="Arial" w:hAnsi="Arial" w:cs="Arial"/>
          <w:sz w:val="22"/>
          <w:szCs w:val="22"/>
          <w:lang w:val="fr-FR"/>
        </w:rPr>
        <w:t xml:space="preserve">Il est cependant difficile d’évaluer l’ampleur du phénomène. En effet, si la sinistralité dépend bien des conditions de travail, elle est également expliquée par les comportements et caractéristiques des salariés (âge, état de santé, aversion au risque, effort de prévention, peur de perdre son emploi) et des employeurs (mode de tarification) et les modalités de déclaration et de gestion des AT-MP (Accidents de Travail-Maladies Professionnelles). Par ailleurs, une des limites majeures de cet indicateur est la sous-déclaration des AT-MP (cf. rapport Diricq, 2008). La commission chargée de l’évaluation de la sous-déclaration des AT-MP, dans son rapport du 30 juin 2021, évalue son coût entre 1,230 et 2,112 milliards d’euros. Ce dernier rapport souligne </w:t>
      </w:r>
      <w:r w:rsidRPr="00E55CDA">
        <w:rPr>
          <w:rFonts w:ascii="Arial" w:hAnsi="Arial" w:cs="Arial"/>
          <w:i/>
          <w:iCs/>
          <w:sz w:val="22"/>
          <w:szCs w:val="22"/>
          <w:lang w:val="fr-FR"/>
        </w:rPr>
        <w:t>« dans certaines entreprises, des phénomènes de dissimulation, ou d’incitation à la non-déclaration des AT-MP, mis en avant par les organisations syndicales ».</w:t>
      </w:r>
      <w:r w:rsidRPr="00E55CDA">
        <w:rPr>
          <w:rFonts w:ascii="Arial" w:hAnsi="Arial" w:cs="Arial"/>
          <w:sz w:val="22"/>
          <w:szCs w:val="22"/>
          <w:lang w:val="fr-FR"/>
        </w:rPr>
        <w:t xml:space="preserve"> La sous-déclaration volontaire pourrait être plus massive dans les grandes entreprises assujetties à une tarification individuelle.</w:t>
      </w:r>
    </w:p>
    <w:sectPr w:rsidR="00E66CBF" w:rsidRPr="00E55C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4DD"/>
    <w:rsid w:val="007C5D56"/>
    <w:rsid w:val="00C33E3C"/>
    <w:rsid w:val="00E55CDA"/>
    <w:rsid w:val="00E66CBF"/>
    <w:rsid w:val="00ED1977"/>
    <w:rsid w:val="00F11F12"/>
    <w:rsid w:val="00F724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A9534"/>
  <w15:chartTrackingRefBased/>
  <w15:docId w15:val="{30A56B2D-1FE1-4EE6-9E78-370D52078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724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724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724D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724D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724D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724D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724D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724D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724D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724D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724D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724D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724D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724D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724D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724D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724D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724DD"/>
    <w:rPr>
      <w:rFonts w:eastAsiaTheme="majorEastAsia" w:cstheme="majorBidi"/>
      <w:color w:val="272727" w:themeColor="text1" w:themeTint="D8"/>
    </w:rPr>
  </w:style>
  <w:style w:type="paragraph" w:styleId="Tytu">
    <w:name w:val="Title"/>
    <w:basedOn w:val="Normalny"/>
    <w:next w:val="Normalny"/>
    <w:link w:val="TytuZnak"/>
    <w:uiPriority w:val="10"/>
    <w:qFormat/>
    <w:rsid w:val="00F724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724D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724D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724D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724DD"/>
    <w:pPr>
      <w:spacing w:before="160"/>
      <w:jc w:val="center"/>
    </w:pPr>
    <w:rPr>
      <w:i/>
      <w:iCs/>
      <w:color w:val="404040" w:themeColor="text1" w:themeTint="BF"/>
    </w:rPr>
  </w:style>
  <w:style w:type="character" w:customStyle="1" w:styleId="CytatZnak">
    <w:name w:val="Cytat Znak"/>
    <w:basedOn w:val="Domylnaczcionkaakapitu"/>
    <w:link w:val="Cytat"/>
    <w:uiPriority w:val="29"/>
    <w:rsid w:val="00F724DD"/>
    <w:rPr>
      <w:i/>
      <w:iCs/>
      <w:color w:val="404040" w:themeColor="text1" w:themeTint="BF"/>
    </w:rPr>
  </w:style>
  <w:style w:type="paragraph" w:styleId="Akapitzlist">
    <w:name w:val="List Paragraph"/>
    <w:basedOn w:val="Normalny"/>
    <w:uiPriority w:val="34"/>
    <w:qFormat/>
    <w:rsid w:val="00F724DD"/>
    <w:pPr>
      <w:ind w:left="720"/>
      <w:contextualSpacing/>
    </w:pPr>
  </w:style>
  <w:style w:type="character" w:styleId="Wyrnienieintensywne">
    <w:name w:val="Intense Emphasis"/>
    <w:basedOn w:val="Domylnaczcionkaakapitu"/>
    <w:uiPriority w:val="21"/>
    <w:qFormat/>
    <w:rsid w:val="00F724DD"/>
    <w:rPr>
      <w:i/>
      <w:iCs/>
      <w:color w:val="0F4761" w:themeColor="accent1" w:themeShade="BF"/>
    </w:rPr>
  </w:style>
  <w:style w:type="paragraph" w:styleId="Cytatintensywny">
    <w:name w:val="Intense Quote"/>
    <w:basedOn w:val="Normalny"/>
    <w:next w:val="Normalny"/>
    <w:link w:val="CytatintensywnyZnak"/>
    <w:uiPriority w:val="30"/>
    <w:qFormat/>
    <w:rsid w:val="00F724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724DD"/>
    <w:rPr>
      <w:i/>
      <w:iCs/>
      <w:color w:val="0F4761" w:themeColor="accent1" w:themeShade="BF"/>
    </w:rPr>
  </w:style>
  <w:style w:type="character" w:styleId="Odwoanieintensywne">
    <w:name w:val="Intense Reference"/>
    <w:basedOn w:val="Domylnaczcionkaakapitu"/>
    <w:uiPriority w:val="32"/>
    <w:qFormat/>
    <w:rsid w:val="00F724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414</Words>
  <Characters>2487</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JADWIGA. WIECZORKIEWICZ</dc:creator>
  <cp:keywords/>
  <dc:description/>
  <cp:lastModifiedBy>MAGDA JADWIGA. WIECZORKIEWICZ</cp:lastModifiedBy>
  <cp:revision>2</cp:revision>
  <dcterms:created xsi:type="dcterms:W3CDTF">2026-02-09T11:33:00Z</dcterms:created>
  <dcterms:modified xsi:type="dcterms:W3CDTF">2026-02-09T12:51:00Z</dcterms:modified>
</cp:coreProperties>
</file>