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F" w14:textId="7CFC3686" w:rsidR="00F567DC" w:rsidRPr="00BC50B7" w:rsidRDefault="00BC50B7" w:rsidP="00BD4B4A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BC50B7">
        <w:rPr>
          <w:rFonts w:ascii="Arial" w:hAnsi="Arial" w:cs="Arial"/>
          <w:bCs/>
          <w:sz w:val="22"/>
          <w:szCs w:val="22"/>
        </w:rPr>
        <w:t>Załącznik nr 1 do ogłoszenia o zamówienie</w:t>
      </w:r>
    </w:p>
    <w:p w14:paraId="7C85B713" w14:textId="3C9AEE32" w:rsidR="00BC50B7" w:rsidRDefault="00BC50B7" w:rsidP="00BD4B4A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BC50B7">
        <w:rPr>
          <w:rFonts w:ascii="Arial" w:hAnsi="Arial" w:cs="Arial"/>
          <w:bCs/>
          <w:sz w:val="22"/>
          <w:szCs w:val="22"/>
        </w:rPr>
        <w:t>Załącznik nr 1 do umowy</w:t>
      </w:r>
    </w:p>
    <w:p w14:paraId="2463DABE" w14:textId="77777777" w:rsidR="00E11FD4" w:rsidRPr="00BC50B7" w:rsidRDefault="00E11FD4" w:rsidP="00BD4B4A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06AD1DE6" w14:textId="4B1978BD" w:rsidR="00E11FD4" w:rsidRDefault="00F567DC" w:rsidP="00BD4B4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Specyfikacja techniczna sprzętu i warunki gwarancji</w:t>
      </w:r>
    </w:p>
    <w:p w14:paraId="6379058E" w14:textId="77777777" w:rsidR="00BD4B4A" w:rsidRDefault="00BD4B4A" w:rsidP="00BD4B4A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6A2E9E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Dostarczane urządzenia i oprogramowanie są fabrycznie i technicznie nowe oraz nie używane wcześniej.</w:t>
      </w:r>
    </w:p>
    <w:p w14:paraId="2A8B4615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Urządzenia i oprogramowanie pochodzą z legalnego kanału sprzedaży.</w:t>
      </w:r>
    </w:p>
    <w:p w14:paraId="3C0C4F92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Urządzenia są kompletne i gotowe do pracy po podłączeniu (w przypadku </w:t>
      </w:r>
      <w:r>
        <w:rPr>
          <w:rFonts w:ascii="Arial" w:hAnsi="Arial" w:cs="Arial"/>
          <w:sz w:val="22"/>
          <w:szCs w:val="22"/>
        </w:rPr>
        <w:br/>
        <w:t>oprogramowania po zainstalowaniu i skonfigurowaniu).</w:t>
      </w:r>
    </w:p>
    <w:p w14:paraId="3F5579DE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Dostarczane urządzenia/oprogramowanie są pozbawione wszelkich wad.</w:t>
      </w:r>
    </w:p>
    <w:p w14:paraId="4D310DB8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Dla urządzeń, których pierwsze uruchomienie musi być realizowane przez </w:t>
      </w:r>
      <w:r>
        <w:rPr>
          <w:rFonts w:ascii="Arial" w:hAnsi="Arial" w:cs="Arial"/>
          <w:sz w:val="22"/>
          <w:szCs w:val="22"/>
        </w:rPr>
        <w:br/>
        <w:t xml:space="preserve">producenta lub autoryzowany serwis producenta Wykonawca zapewni taki serwis </w:t>
      </w:r>
      <w:r>
        <w:rPr>
          <w:rFonts w:ascii="Arial" w:hAnsi="Arial" w:cs="Arial"/>
          <w:sz w:val="22"/>
          <w:szCs w:val="22"/>
        </w:rPr>
        <w:br/>
        <w:t xml:space="preserve">w miejscu instalacji sprzętu. </w:t>
      </w:r>
    </w:p>
    <w:p w14:paraId="6DE81E0A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Wszystkie oferowane urządzenia w ramach poszczególnych typów są:</w:t>
      </w:r>
    </w:p>
    <w:p w14:paraId="7CD5496F" w14:textId="77777777" w:rsidR="00E11FD4" w:rsidRDefault="00E11FD4" w:rsidP="00E11FD4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złożone z identycznych podzespołów, sygnowanych przez ich  producenta,</w:t>
      </w:r>
    </w:p>
    <w:p w14:paraId="1D6F256E" w14:textId="77777777" w:rsidR="00E11FD4" w:rsidRDefault="00E11FD4" w:rsidP="00E11FD4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posiadają taką samą konfigurację,</w:t>
      </w:r>
    </w:p>
    <w:p w14:paraId="4BFBBB69" w14:textId="77777777" w:rsidR="00E11FD4" w:rsidRDefault="00E11FD4" w:rsidP="00E11FD4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dostarczane są w oryginalnych opakowaniach.</w:t>
      </w:r>
    </w:p>
    <w:p w14:paraId="13518BCE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Zamawiający, przed podpisaniem protokołu odbioru, ma prawo do sprawdzenia </w:t>
      </w:r>
      <w:r>
        <w:rPr>
          <w:rFonts w:ascii="Arial" w:hAnsi="Arial" w:cs="Arial"/>
          <w:sz w:val="22"/>
          <w:szCs w:val="22"/>
        </w:rPr>
        <w:br/>
        <w:t>legalności dostarczonego oprogramowania.</w:t>
      </w:r>
    </w:p>
    <w:p w14:paraId="3A6D1D73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Wszystkie dyski twarde pozostają własnością Zamawiającego i nie będą zwracane.</w:t>
      </w:r>
    </w:p>
    <w:p w14:paraId="070FA6CA" w14:textId="77777777" w:rsidR="00E11FD4" w:rsidRDefault="00E11FD4" w:rsidP="00E11FD4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Wszystkie parametry wskazane w tabelach poniżej są wymaganiami minimalnymi. </w:t>
      </w:r>
    </w:p>
    <w:p w14:paraId="4B0FD303" w14:textId="77777777" w:rsidR="00E11FD4" w:rsidRDefault="00E11FD4" w:rsidP="00E11FD4">
      <w:p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27D2A6" w14:textId="3EAD4F3C" w:rsidR="00E11FD4" w:rsidRPr="00BD4B4A" w:rsidRDefault="00E11FD4" w:rsidP="00BD4B4A">
      <w:pPr>
        <w:suppressAutoHyphens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Wymagane parametry techniczne</w:t>
      </w:r>
    </w:p>
    <w:p w14:paraId="7CC925DC" w14:textId="77777777" w:rsidR="00E11FD4" w:rsidRPr="00DA53CE" w:rsidRDefault="00E11FD4" w:rsidP="00E11FD4">
      <w:pPr>
        <w:suppressAutoHyphens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A53C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Komputery PC klasy AIO </w:t>
      </w:r>
    </w:p>
    <w:tbl>
      <w:tblPr>
        <w:tblpPr w:leftFromText="141" w:rightFromText="141" w:vertAnchor="text" w:tblpX="-71" w:tblpY="1"/>
        <w:tblW w:w="1013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08"/>
        <w:gridCol w:w="5848"/>
        <w:gridCol w:w="2380"/>
      </w:tblGrid>
      <w:tr w:rsidR="00E11FD4" w:rsidRPr="00DA53CE" w14:paraId="0888E20D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BBE56FE" w14:textId="77777777" w:rsidR="00E11FD4" w:rsidRPr="00DA53CE" w:rsidRDefault="00E11FD4" w:rsidP="00E11FD4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Cecha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1C21AB" w14:textId="77777777" w:rsidR="00E11FD4" w:rsidRPr="00DA53CE" w:rsidRDefault="00E11FD4" w:rsidP="00E11FD4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Wymagane parametry techniczne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447D55" w14:textId="77777777" w:rsidR="00E11FD4" w:rsidRPr="00DA53CE" w:rsidRDefault="00E11FD4" w:rsidP="00E11FD4">
            <w:pPr>
              <w:suppressAutoHyphens w:val="0"/>
              <w:spacing w:line="276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Spełnienie parametrów technicznych</w:t>
            </w:r>
            <w:r w:rsidRPr="00DA53CE">
              <w:rPr>
                <w:rFonts w:ascii="Arial" w:eastAsiaTheme="minorHAns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DA53CE">
              <w:rPr>
                <w:rFonts w:ascii="Arial" w:eastAsiaTheme="minorHAnsi" w:hAnsi="Arial" w:cs="Arial"/>
                <w:b/>
                <w:i/>
                <w:sz w:val="22"/>
                <w:szCs w:val="22"/>
                <w:lang w:eastAsia="en-US"/>
              </w:rPr>
              <w:t>(wypełnia Wykonawca)</w:t>
            </w:r>
          </w:p>
        </w:tc>
      </w:tr>
      <w:tr w:rsidR="00E11FD4" w:rsidRPr="00DA53CE" w14:paraId="0942F5CC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4BABC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Ekran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5FA3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Matryca 16:9 IPS lub MVA bez obramowania, antyodblaskowa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bez obsługi dotykowej. Rozmiar matrycy w przedziale 23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,8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”-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27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”, rozdzielczość natywna matrycy min. FHD 1920x1080.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E9E6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4D7A2761" w14:textId="77777777" w:rsidTr="00AD2B48">
        <w:trPr>
          <w:trHeight w:val="142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5365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440C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Procesor osiągający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dzień składania ofert, w teście </w:t>
            </w:r>
            <w:proofErr w:type="spellStart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PerformanceTest</w:t>
            </w:r>
            <w:proofErr w:type="spellEnd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V10 lub V11 średni wynik min. 31800 punktów, wynik zaproponowanego procesora musi znajdować się na stronie: </w:t>
            </w:r>
            <w:hyperlink r:id="rId5">
              <w:r w:rsidRPr="00DA53CE">
                <w:rPr>
                  <w:rFonts w:ascii="Arial" w:eastAsia="Calibri" w:hAnsi="Arial" w:cs="Arial"/>
                  <w:sz w:val="22"/>
                  <w:szCs w:val="22"/>
                  <w:u w:val="single"/>
                  <w:lang w:eastAsia="en-US"/>
                </w:rPr>
                <w:t>www.cpubenchmark.net</w:t>
              </w:r>
            </w:hyperlink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0BD771F4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  <w:u w:val="single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Zamawiający nie dopuszcza wyników jednostkowych testów opublikowanych na stronie: </w:t>
            </w:r>
            <w:hyperlink r:id="rId6">
              <w:r w:rsidRPr="00DA53CE">
                <w:rPr>
                  <w:rFonts w:ascii="Arial" w:eastAsia="Calibri" w:hAnsi="Arial" w:cs="Arial"/>
                  <w:sz w:val="22"/>
                  <w:szCs w:val="22"/>
                  <w:u w:val="single"/>
                  <w:lang w:eastAsia="en-US"/>
                </w:rPr>
                <w:t>www.cpubenchmark.net</w:t>
              </w:r>
            </w:hyperlink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5F33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  <w:p w14:paraId="77C02541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216226E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 producenta procesora*:………….  model procesora*:……………</w:t>
            </w:r>
          </w:p>
        </w:tc>
      </w:tr>
      <w:tr w:rsidR="00E11FD4" w:rsidRPr="00DA53CE" w14:paraId="4EF9EBC7" w14:textId="77777777" w:rsidTr="00AD2B48">
        <w:trPr>
          <w:trHeight w:val="45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A36E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Pamięć RAM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A215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Min. 16 GB DDR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56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00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MHz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możliwość rozbudowy do 64GB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C16C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1705CD68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71D30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Dysk twardy SSD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55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 xml:space="preserve">Min. 256GB SSD M.2 </w:t>
            </w:r>
            <w:proofErr w:type="spellStart"/>
            <w:r w:rsidRPr="00DA53C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NVMe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E06F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Spełnia</w:t>
            </w:r>
            <w:proofErr w:type="spellEnd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nie</w:t>
            </w:r>
            <w:proofErr w:type="spellEnd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spełnia</w:t>
            </w:r>
            <w:proofErr w:type="spellEnd"/>
            <w:r w:rsidRPr="009064BF"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**</w:t>
            </w:r>
          </w:p>
        </w:tc>
      </w:tr>
      <w:tr w:rsidR="00E11FD4" w:rsidRPr="00DA53CE" w14:paraId="382C375F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5C268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Karta graficzna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EF63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Zintegrowana karta graficzna wykorzystująca pamięć RAM systemu dynamicznie przydzielaną na potrzeby grafiki. Praca min. Dwumonitorowa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A07A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423BAC09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50331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Karta sieciowa przewodowa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33CF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1000Mbit/s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7135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740D47C4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3AE70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Wyposażenie multimedialne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B801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Karta dźwiękowa min. 2 kanałowa zintegrowana z płytą główną, zgodna z High Definition, wbudowane dwa głośniki min. 2W na kanał.</w:t>
            </w:r>
          </w:p>
          <w:p w14:paraId="0AAAFCD9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Wbudowana w obudowę matrycy cyfrowa kamera min 2.0 MP, rozdzielczość video min. 1920x1080. Kamera opatrzona w mechaniczną przysłonę lub chowana w obudowę komputera. </w:t>
            </w:r>
          </w:p>
          <w:p w14:paraId="5CB2B55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Dwa cyfrowe mikrofony obsługujące poprawę mowy i redukcję szumów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F63C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6C4A272D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72097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Porty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A66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liczba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wbudowanych wolnych portów do wykorzystania przez użytkownika: </w:t>
            </w:r>
          </w:p>
          <w:p w14:paraId="63D370DA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5x USB 3.x (dopuszcza się zajęcie 2 portów przez urządzenie peryferyjne)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</w:p>
          <w:p w14:paraId="419D4512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1x USB 3.1 type C</w:t>
            </w:r>
            <w:r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,</w:t>
            </w:r>
          </w:p>
          <w:p w14:paraId="496F9044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1xRJ45,</w:t>
            </w:r>
          </w:p>
          <w:p w14:paraId="57FE5A8A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1x </w:t>
            </w:r>
            <w:proofErr w:type="spellStart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DisplayPort</w:t>
            </w:r>
            <w:proofErr w:type="spellEnd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lub HDMI, </w:t>
            </w:r>
          </w:p>
          <w:p w14:paraId="53E4582B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1x audio out i 1x audio in </w:t>
            </w:r>
            <w:r w:rsidRPr="00DA53CE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 xml:space="preserve">(zamiast dwóch portów audio możliwe jest zastosowanie portu audio </w:t>
            </w:r>
            <w:proofErr w:type="spellStart"/>
            <w:r w:rsidRPr="00DA53CE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combo</w:t>
            </w:r>
            <w:proofErr w:type="spellEnd"/>
            <w:r w:rsidRPr="00DA53CE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)</w:t>
            </w:r>
            <w: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.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7A174302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Wymagana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liczba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portów nie może być osiągnięta w wyniku stosowania konwerterów, przejściówek itp. Wszystkie porty wyprowadzone na zewnątrz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985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0D49B17F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DDBAF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Klawiatura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FF8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Klawiatura USB w układzie polski programisty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kolorze zbliżonym do koloru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3FA1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40A2A56A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1CD7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Mysz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5DCB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Mysz optyczna USB w kolorze zbliżonym do koloru obudowy.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E7A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460445DF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A781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Obudowa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B18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Typu </w:t>
            </w:r>
            <w:proofErr w:type="spellStart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All</w:t>
            </w:r>
            <w:proofErr w:type="spellEnd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-in-One zintegrowana z monitorem w przedziale 23”-24”.</w:t>
            </w:r>
          </w:p>
          <w:p w14:paraId="537A1948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Demontaż standu musi odbywać się bez użycia narzędzi, mocowanie standu opatrzone w przycisk zwalniający. Demontaż tylnej pokrywy musi odbywać się również bez użycia narzędzi, nie dopuszcza się stosowania śrub motylkowych, </w:t>
            </w:r>
            <w:proofErr w:type="spellStart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radełkowych</w:t>
            </w:r>
            <w:proofErr w:type="spellEnd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czy zwykłych wkrętów. </w:t>
            </w:r>
          </w:p>
          <w:p w14:paraId="0E28B687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Zasilacz wewnętrzny lub zewnętrzny o mocy max. 280W</w:t>
            </w:r>
            <w:r w:rsidRPr="00DA53CE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pracujący w sieci 230V 50/60Hz prądu zmiennego.</w:t>
            </w:r>
          </w:p>
          <w:p w14:paraId="4AEF0493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Obudowa musi posiadać czujnik otwarcia obudowy współpracujący z oprogramowaniem zarządzająco – diagnostycznym.</w:t>
            </w:r>
          </w:p>
          <w:p w14:paraId="4E8F69B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Wymagania funkcjonalności </w:t>
            </w:r>
            <w:proofErr w:type="spellStart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stand’u</w:t>
            </w:r>
            <w:proofErr w:type="spellEnd"/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:</w:t>
            </w:r>
          </w:p>
          <w:p w14:paraId="6ED6B9E3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- zakres pochyłu minimum 20 stopni, przód -3, tył 17 stopni,</w:t>
            </w:r>
          </w:p>
          <w:p w14:paraId="3EA62CB4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- regulacja wysokości w pionie minimum 8cm dla ekranu ustawionego pionowo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080DDD5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Obudowa musi umożliwiać zastosowanie zabezpieczenia fizycznego w postaci linki metalowej lub kłódki (oczko w obudowie do założenia kłódki)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  <w:p w14:paraId="16F043CC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Każdy komputer musi być oznaczony niepowtarzalnym numerem seryjnym umieszonym na obudowie, oraz wpisanym na stałe w BIOS.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94A5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Spełnia/nie spełnia**</w:t>
            </w:r>
          </w:p>
        </w:tc>
      </w:tr>
      <w:tr w:rsidR="00E11FD4" w:rsidRPr="00DA53CE" w14:paraId="76085FDC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9643D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Wirtualizacja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4509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Sprzętowe wsparcie technologii wirtualizacji realizowane łącznie w procesorze, chipsecie płyty głównej oraz w BIOS systemu.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520C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2CA2CB8E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8265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Bezpieczeństwo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1FC1" w14:textId="77777777" w:rsidR="00E11FD4" w:rsidRPr="005C178A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4B0BF865" w14:textId="77777777" w:rsidR="00E11FD4" w:rsidRPr="005C178A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Zaimplementowany w BIOS system diagnostyczny z graficznym lub tekstowym interfejsem użytkownika dostępny z poziomu BIOS lub szybkiego menu </w:t>
            </w:r>
            <w:proofErr w:type="spellStart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boot’owania</w:t>
            </w:r>
            <w:proofErr w:type="spellEnd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umożliwiający przetestowanie w celu wykrycia usterki zainstalowanych komponentów (min. CPU, Memory, płyty głównej lub magistrali </w:t>
            </w:r>
            <w:proofErr w:type="spellStart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PCIe</w:t>
            </w:r>
            <w:proofErr w:type="spellEnd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 bez konieczności uruchamiania systemu operacyjnego. System musi posiadać wszystkie swoje funkcjonalności w przypadku: braku dysku, uszkodzenia dysku, sformatowania dysku, braku dostępu do sieci, </w:t>
            </w:r>
            <w:proofErr w:type="spellStart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internetu</w:t>
            </w:r>
            <w:proofErr w:type="spellEnd"/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Nie dopuszcza się stosowania wewnętrznych i zewnętrznych urządzeń w celu uzyskania funkcjonalności systemu diagnostycznego. </w:t>
            </w:r>
          </w:p>
          <w:p w14:paraId="254506E5" w14:textId="77777777" w:rsidR="00E11FD4" w:rsidRPr="005C178A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5C178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Czujnik otwarcia obudowy musi zbierać zdarzenia i zapisywać je w BIOS.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E9D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089B8F58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DD59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Bios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AC93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BIOS zgodny ze specyfikacją UEFI, wyprodukowany przez producenta komputera, zawierający logo producenta komputera lub nazwę producenta komputera lub nazwę modelu oferowanego komputera. </w:t>
            </w:r>
          </w:p>
          <w:p w14:paraId="1D204604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Pełna obsługa BIOS za pomocą klawiatury i myszy oraz samej myszy. BIOS wyposażony w automatyczną detekcję zmiany konfiguracji, automatycznie nanoszący zmiany w konfiguracji w szczególności: procesor, wielkość pamięci, pojemność dysku lub model dysku. Możliwość, bez uruchamiania systemu operacyjnego z dysku twardego komputera, bez dodatkowego oprogramowania (w tym również systemu diagnostycznego ) i podłączonych do niego urządzeń zewnętrznych, odczytania z BIOS informacji o: </w:t>
            </w:r>
          </w:p>
          <w:p w14:paraId="7A2ACD48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wersji BIOS,</w:t>
            </w:r>
          </w:p>
          <w:p w14:paraId="57124E7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- modelu komputera,</w:t>
            </w:r>
          </w:p>
          <w:p w14:paraId="74585F07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nr seryjnym komputera,</w:t>
            </w:r>
          </w:p>
          <w:p w14:paraId="7D4273CB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MAC adres karty sieciowej,</w:t>
            </w:r>
          </w:p>
          <w:p w14:paraId="79613472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zainstalowanym procesorze,</w:t>
            </w:r>
          </w:p>
          <w:p w14:paraId="2125E371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ilości pamięci RAM.</w:t>
            </w:r>
          </w:p>
          <w:p w14:paraId="45931A6D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Możliwości z poziomu BIOS:</w:t>
            </w:r>
          </w:p>
          <w:p w14:paraId="3769A02A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wyłączenia selektywnego (pojedynczego) portów USB,</w:t>
            </w:r>
          </w:p>
          <w:p w14:paraId="6A32398E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 wyłączenia selektywnego (pojedynczego) portów SATA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F5AC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Spełnia/nie spełnia**</w:t>
            </w:r>
          </w:p>
        </w:tc>
      </w:tr>
      <w:tr w:rsidR="00E11FD4" w:rsidRPr="00DA53CE" w14:paraId="06921ACE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DDDD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operacyjny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3849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Zainstalowany system operacyjny Windows 11 Professional w polskiej wersji językowej, klucz licencyjny Windows 11 Professional musi być zapisany trwale w BIOS i umożliwiać instalację systemu operacyjnego z partycji </w:t>
            </w:r>
            <w:proofErr w:type="spellStart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recovery</w:t>
            </w:r>
            <w:proofErr w:type="spellEnd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  <w:p w14:paraId="5B1E098E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Zamawiający dopuszcza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oprogramowanie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równoważne  spełniające następujące wymagania:</w:t>
            </w:r>
          </w:p>
          <w:p w14:paraId="2A617FE7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musi mieć możliwość dodania do domeny opartej na systemie Windows 2019.</w:t>
            </w:r>
          </w:p>
          <w:p w14:paraId="7974894C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musi mieć możliwość zarządzania przez polisy GPO oparte o domenę na Windows 2019.</w:t>
            </w:r>
          </w:p>
          <w:p w14:paraId="06C41449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System musi pozwalać na zarządzanie z poziomu konsoli </w:t>
            </w:r>
            <w:proofErr w:type="spellStart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users</w:t>
            </w:r>
            <w:proofErr w:type="spellEnd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computers</w:t>
            </w:r>
            <w:proofErr w:type="spellEnd"/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z kontrolera domeny opartego na systemie Windows 2019 - dotyczy to zarządzania użytkownikami, grupami oraz przeglądania logów.</w:t>
            </w:r>
          </w:p>
          <w:p w14:paraId="2B4AE8BF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będzie stosował polityki bezpieczeństwa z polis GPO opartych o domenę Windows 2019.</w:t>
            </w:r>
          </w:p>
          <w:p w14:paraId="73CFB203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musi mieć możliwość użycia filtrów WMI w celu zbierania informacji, stosowanie filtrów musi być możliwe przez polisy GPO oparte o domenę na systemie Windows 2019.</w:t>
            </w:r>
          </w:p>
          <w:p w14:paraId="01ED1A00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System musi umożliwić zainstalowanie aplikacji MS Office bez użycia aplikacji wirtualizujących środowisko Windows.</w:t>
            </w:r>
          </w:p>
          <w:p w14:paraId="000B1DB0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872" w14:textId="77777777" w:rsidR="00E11FD4" w:rsidRPr="00BD4B4A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4B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Oferujemy / Nie oferujemy** w urządzeniach oprogramowanie równoważne do systemu Windows 11 Professional, zgodnie z niniejszymi wymaganiami. </w:t>
            </w:r>
          </w:p>
          <w:p w14:paraId="24AB1E09" w14:textId="77777777" w:rsidR="00E11FD4" w:rsidRPr="00BD4B4A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D4B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przypadku nie skreślenia żadnej opcji lub skreślenia obydwu opcji Zamawiający uzna, że   Wykonawca oferuje w urządzeniach system operacyjny Windows 11 Professional.</w:t>
            </w:r>
          </w:p>
          <w:p w14:paraId="5B21C9E5" w14:textId="2FD07879" w:rsidR="00BD4B4A" w:rsidRPr="00BD4B4A" w:rsidRDefault="00E11FD4" w:rsidP="00BD4B4A">
            <w:pPr>
              <w:suppressAutoHyphens w:val="0"/>
              <w:spacing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4B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przypadku zaoferowania oprogramowania równoważnego należy dołączyć do oferty dokumentację</w:t>
            </w:r>
            <w:r w:rsidR="00BD4B4A" w:rsidRPr="00BD4B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:</w:t>
            </w:r>
            <w:r w:rsidRPr="00BD4B4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8F4DF21" w14:textId="621098B9" w:rsidR="00BD4B4A" w:rsidRPr="00BD4B4A" w:rsidRDefault="00BD4B4A" w:rsidP="00BD4B4A">
            <w:pPr>
              <w:suppressAutoHyphens w:val="0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BD4B4A">
              <w:rPr>
                <w:rFonts w:ascii="Arial" w:hAnsi="Arial" w:cs="Arial"/>
                <w:sz w:val="20"/>
                <w:szCs w:val="20"/>
                <w14:ligatures w14:val="standardContextual"/>
              </w:rPr>
              <w:t>-</w:t>
            </w:r>
            <w:r w:rsidRPr="00BD4B4A">
              <w:rPr>
                <w:rFonts w:ascii="Arial" w:hAnsi="Arial" w:cs="Arial"/>
                <w:sz w:val="20"/>
                <w:szCs w:val="20"/>
                <w14:ligatures w14:val="standardContextual"/>
              </w:rPr>
              <w:t>pełne postanowienia licencji oprogramowania równoważnego</w:t>
            </w:r>
            <w:r w:rsidRPr="00BD4B4A">
              <w:rPr>
                <w:rFonts w:ascii="Arial" w:hAnsi="Arial" w:cs="Arial"/>
                <w:color w:val="0E2841"/>
                <w:sz w:val="20"/>
                <w:szCs w:val="20"/>
                <w14:ligatures w14:val="standardContextual"/>
              </w:rPr>
              <w:t>,</w:t>
            </w:r>
          </w:p>
          <w:p w14:paraId="1520E4C9" w14:textId="692BC701" w:rsidR="00BD4B4A" w:rsidRPr="00BD4B4A" w:rsidRDefault="00BD4B4A" w:rsidP="00BD4B4A">
            <w:pPr>
              <w:suppressAutoHyphens w:val="0"/>
              <w:rPr>
                <w:rFonts w:ascii="Arial" w:hAnsi="Arial" w:cs="Arial"/>
                <w:color w:val="0E2841"/>
                <w:sz w:val="20"/>
                <w:szCs w:val="20"/>
                <w14:ligatures w14:val="standardContextual"/>
              </w:rPr>
            </w:pPr>
            <w:r w:rsidRPr="00BD4B4A">
              <w:rPr>
                <w:rFonts w:ascii="Arial" w:hAnsi="Arial" w:cs="Arial"/>
                <w:sz w:val="20"/>
                <w:szCs w:val="20"/>
                <w14:ligatures w14:val="standardContextual"/>
              </w:rPr>
              <w:t>-</w:t>
            </w:r>
            <w:r w:rsidRPr="00BD4B4A">
              <w:rPr>
                <w:rFonts w:ascii="Arial" w:hAnsi="Arial" w:cs="Arial"/>
                <w:sz w:val="20"/>
                <w:szCs w:val="20"/>
                <w14:ligatures w14:val="standardContextual"/>
              </w:rPr>
              <w:t>wykaz pełnej funkcjonalności oprogramowania równoważnego</w:t>
            </w:r>
          </w:p>
          <w:p w14:paraId="53ABF2E5" w14:textId="0B33E3E1" w:rsidR="00E11FD4" w:rsidRPr="00BD4B4A" w:rsidRDefault="00BD4B4A" w:rsidP="00BD4B4A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D4B4A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- c</w:t>
            </w:r>
            <w:r w:rsidRPr="00BD4B4A">
              <w:rPr>
                <w:rFonts w:ascii="Arial" w:hAnsi="Arial" w:cs="Arial"/>
                <w:sz w:val="20"/>
                <w:szCs w:val="20"/>
                <w:lang w:eastAsia="en-US"/>
                <w14:ligatures w14:val="standardContextual"/>
              </w:rPr>
              <w:t>ertyfikat wystawiony przez Microsoft potwierdzający poprawną współpracę oferowanego modelu komputera PC AIO z systemem operacyjnym Windows 11 – w przypadku zaoferowania w urządzeniach oprogramowania równoważnego.</w:t>
            </w:r>
          </w:p>
        </w:tc>
      </w:tr>
      <w:tr w:rsidR="00E11FD4" w:rsidRPr="00DA53CE" w14:paraId="2C9DCBA8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FB9F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Certyfikaty i autoryzacje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D1BC" w14:textId="77777777" w:rsidR="00E11FD4" w:rsidRPr="00DA53CE" w:rsidRDefault="00E11FD4" w:rsidP="00E11FD4">
            <w:pPr>
              <w:suppressAutoHyphens w:val="0"/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Komputer wyprodukowany przez producenta posiadającego Certyfikat ISO9001 lub równoważny (w 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tożsamym zakresie i wystawiony przez akredytowaną jednostkę certyfikującą).</w:t>
            </w:r>
          </w:p>
          <w:p w14:paraId="4B02045E" w14:textId="77777777" w:rsidR="00E11FD4" w:rsidRPr="00DA53CE" w:rsidRDefault="00E11FD4" w:rsidP="00E11FD4">
            <w:pPr>
              <w:suppressAutoHyphens w:val="0"/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Komputer wyprodukowany przez producenta posiadającego Certyfikat ISO 50001 lub 14001 lub równoważny (w tożsamym zakresie i wystawiony przez akredytowaną jednostkę certyfikującą).</w:t>
            </w:r>
          </w:p>
          <w:p w14:paraId="276E79A5" w14:textId="77777777" w:rsidR="00E11FD4" w:rsidRPr="00DA53CE" w:rsidRDefault="00E11FD4" w:rsidP="00E11FD4">
            <w:pPr>
              <w:suppressAutoHyphens w:val="0"/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Komputer spełnia wymagania TCO  lub równoważnego w tożsamym zakresie. </w:t>
            </w:r>
          </w:p>
          <w:p w14:paraId="543D6D35" w14:textId="77777777" w:rsidR="00E11FD4" w:rsidRDefault="00E11FD4" w:rsidP="00E11FD4">
            <w:pPr>
              <w:suppressAutoHyphens w:val="0"/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Komputer spełnia wymagania Energy Star  lub równoważnego w tożsamym zakresie. </w:t>
            </w:r>
          </w:p>
          <w:p w14:paraId="539361EB" w14:textId="77777777" w:rsidR="00E11FD4" w:rsidRPr="00DA53CE" w:rsidRDefault="00E11FD4" w:rsidP="00E11FD4">
            <w:pPr>
              <w:suppressAutoHyphens w:val="0"/>
              <w:spacing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Komputer spełnia wymagania EPEAT na poziomie Gold dla lokalizacji Polska lub równoważnego w tożsamym zakresie. </w:t>
            </w:r>
          </w:p>
          <w:p w14:paraId="58206224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Komputer wyprodukowany zgodnie z normą MIL-STD-810 co najmniej według metod: wysoka temperatura, niska temperatura.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DCE3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Spełnia/nie spełnia** </w:t>
            </w:r>
          </w:p>
          <w:p w14:paraId="5E63DA3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7B648AB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70E8ACE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3EFF40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77084CF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2A3C6C0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00C8D83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E11FD4" w:rsidRPr="00DA53CE" w14:paraId="1F7DFB19" w14:textId="77777777" w:rsidTr="00AD2B48">
        <w:trPr>
          <w:trHeight w:val="2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AC99E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Wsparcie techniczne producenta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8738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Dostęp do najnowszych sterowników i uaktualnień na stronie producenta poprzez podanie na dedykowanej stronie internetowej producenta numeru seryjnego lub modelu komputera. Oferowany komputer musi być dostępny na stronie i mieć możliwość pobrania sterowników.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3A7F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</w:tc>
      </w:tr>
      <w:tr w:rsidR="00E11FD4" w:rsidRPr="00DA53CE" w14:paraId="3C97F1A0" w14:textId="77777777" w:rsidTr="00AC2AB7">
        <w:trPr>
          <w:trHeight w:val="59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6A335" w14:textId="77777777" w:rsidR="00E11FD4" w:rsidRPr="00DA53CE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Gwarancja 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F9C6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Min.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3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-letnia gwarancja producenta świadczona w miejscu instalacji sprzętu.  Naprawa do końca następnego dnia roboczego od momentu zgłoszenia awarii. Serwis musi być świadczony  przez producenta oferowanego sprzętu lub Autoryzowanego Partnera Serwisowego Producenta. </w:t>
            </w:r>
          </w:p>
          <w:p w14:paraId="629E12BE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Zamawiający, przed podpisaniem protokołu odbioru, musi mieć możliwość zweryfikowania na stronie internetowej producenta oferowanego sprzętu, że dostarczany sprzęt jest objęty gwarancją producenta.</w:t>
            </w:r>
          </w:p>
          <w:p w14:paraId="6541FFDA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 przypadku nie wywiązania się przez Wykonawcę z obowiązków gwarancyjnych zgodnie z umową,  wszelkie zobowiązania gwarancyjne związane z serwisem przejmuje na siebie producent oferowanego sprzętu lub jego oficjalny przedstawiciel w Polsce. </w:t>
            </w:r>
          </w:p>
          <w:p w14:paraId="30013F90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Firma świadcząca usługi serwisowe sprzętu musi posiadać certyfikaty potwierdzające posiadanie wdrożonego ISO 9001, 14001 lub równoważny (w tożsamym zakresie i wystawionych przez akredytowaną jednostkę certyfikującą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) </w:t>
            </w: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dla danej firmy, co najmniej w zakresie serwisu komputerów. </w:t>
            </w:r>
          </w:p>
          <w:p w14:paraId="3AF04A55" w14:textId="77777777" w:rsidR="00E11FD4" w:rsidRPr="00DA53CE" w:rsidRDefault="00E11FD4" w:rsidP="00E11FD4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A53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przypadku awarii dysku twardego, dysk pozostaje u Zamawiającego.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829C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Spełnia/nie spełnia**</w:t>
            </w:r>
          </w:p>
          <w:p w14:paraId="247F6B72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4749C6E9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Firma/y świadcząca/e usługi serwisowe:</w:t>
            </w:r>
          </w:p>
          <w:p w14:paraId="7460B1F5" w14:textId="77777777" w:rsidR="00E11FD4" w:rsidRPr="009064BF" w:rsidRDefault="00E11FD4" w:rsidP="00E11FD4">
            <w:pPr>
              <w:suppressAutoHyphens w:val="0"/>
              <w:spacing w:line="276" w:lineRule="auto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9064B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Nazwa/y*……………</w:t>
            </w:r>
          </w:p>
        </w:tc>
      </w:tr>
    </w:tbl>
    <w:p w14:paraId="2C1D5713" w14:textId="77777777" w:rsidR="00E11FD4" w:rsidRPr="00E11FD4" w:rsidRDefault="00E11FD4" w:rsidP="00E11FD4">
      <w:pPr>
        <w:suppressAutoHyphens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11FD4">
        <w:rPr>
          <w:rFonts w:ascii="Arial" w:eastAsia="Calibri" w:hAnsi="Arial" w:cs="Arial"/>
          <w:sz w:val="20"/>
          <w:szCs w:val="20"/>
          <w:lang w:eastAsia="en-US"/>
        </w:rPr>
        <w:t>*należy podać dane</w:t>
      </w:r>
    </w:p>
    <w:p w14:paraId="7CA24678" w14:textId="77777777" w:rsidR="00E11FD4" w:rsidRPr="00E11FD4" w:rsidRDefault="00E11FD4" w:rsidP="00E11FD4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11FD4">
        <w:rPr>
          <w:rFonts w:ascii="Arial" w:eastAsiaTheme="minorHAnsi" w:hAnsi="Arial" w:cs="Arial"/>
          <w:sz w:val="20"/>
          <w:szCs w:val="20"/>
          <w:lang w:eastAsia="en-US"/>
        </w:rPr>
        <w:t>**niepotrzebne skreślić</w:t>
      </w:r>
      <w:bookmarkStart w:id="0" w:name="_Hlk169691701"/>
      <w:bookmarkEnd w:id="0"/>
    </w:p>
    <w:p w14:paraId="7876703D" w14:textId="77777777" w:rsidR="00E11FD4" w:rsidRDefault="00E11FD4" w:rsidP="00E11FD4"/>
    <w:p w14:paraId="4E4160B5" w14:textId="77777777" w:rsidR="00F567DC" w:rsidRDefault="00F567DC" w:rsidP="00F567D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sectPr w:rsidR="00F5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22EBC"/>
    <w:multiLevelType w:val="multilevel"/>
    <w:tmpl w:val="2C424D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C750F3"/>
    <w:multiLevelType w:val="multilevel"/>
    <w:tmpl w:val="795C5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6918C1"/>
    <w:multiLevelType w:val="hybridMultilevel"/>
    <w:tmpl w:val="72BCF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03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012680">
    <w:abstractNumId w:val="0"/>
  </w:num>
  <w:num w:numId="3" w16cid:durableId="86073488">
    <w:abstractNumId w:val="1"/>
  </w:num>
  <w:num w:numId="4" w16cid:durableId="7168559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C"/>
    <w:rsid w:val="0043694E"/>
    <w:rsid w:val="00584C1F"/>
    <w:rsid w:val="006F5CA1"/>
    <w:rsid w:val="007C6F57"/>
    <w:rsid w:val="00875CA3"/>
    <w:rsid w:val="009064BF"/>
    <w:rsid w:val="00AC2AB7"/>
    <w:rsid w:val="00BC50B7"/>
    <w:rsid w:val="00BD4B4A"/>
    <w:rsid w:val="00BD7A14"/>
    <w:rsid w:val="00E11FD4"/>
    <w:rsid w:val="00F567DC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D213"/>
  <w15:chartTrackingRefBased/>
  <w15:docId w15:val="{C7A87136-6D0E-4B28-A1CE-7D1C178C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7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7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F56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/" TargetMode="External"/><Relationship Id="rId5" Type="http://schemas.openxmlformats.org/officeDocument/2006/relationships/hyperlink" Target="http://www.cpubenchmark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Adamczyk</dc:creator>
  <cp:keywords/>
  <dc:description/>
  <cp:lastModifiedBy>Katarzyna Adamczyk</cp:lastModifiedBy>
  <cp:revision>6</cp:revision>
  <cp:lastPrinted>2026-04-14T08:16:00Z</cp:lastPrinted>
  <dcterms:created xsi:type="dcterms:W3CDTF">2026-04-08T10:06:00Z</dcterms:created>
  <dcterms:modified xsi:type="dcterms:W3CDTF">2026-04-14T08:16:00Z</dcterms:modified>
</cp:coreProperties>
</file>